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16" w:rsidRPr="002665F6" w:rsidRDefault="006E4116" w:rsidP="002665F6">
      <w:pPr>
        <w:pStyle w:val="Vrazncitt"/>
        <w:spacing w:before="120" w:after="120" w:line="360" w:lineRule="auto"/>
        <w:ind w:left="57" w:right="57"/>
        <w:rPr>
          <w:rStyle w:val="Nzevknihy"/>
        </w:rPr>
      </w:pPr>
      <w:r w:rsidRPr="002665F6">
        <w:rPr>
          <w:rStyle w:val="Nzevknihy"/>
        </w:rPr>
        <w:t>Ohlášení hazardní hry</w:t>
      </w:r>
    </w:p>
    <w:p w:rsidR="004E6D48" w:rsidRDefault="004E6D48" w:rsidP="00645EB3">
      <w:pPr>
        <w:shd w:val="clear" w:color="auto" w:fill="FFFFFF"/>
        <w:spacing w:before="120" w:after="120" w:line="360" w:lineRule="auto"/>
        <w:rPr>
          <w:rFonts w:ascii="Palatino Linotype" w:eastAsia="Times New Roman" w:hAnsi="Palatino Linotype" w:cs="Times New Roman"/>
          <w:b/>
          <w:color w:val="1F4E79" w:themeColor="accent1" w:themeShade="80"/>
          <w:sz w:val="24"/>
          <w:szCs w:val="24"/>
          <w:lang w:eastAsia="cs-CZ"/>
        </w:rPr>
      </w:pPr>
      <w:r w:rsidRPr="000F44C0">
        <w:rPr>
          <w:rFonts w:ascii="Palatino Linotype" w:eastAsia="Times New Roman" w:hAnsi="Palatino Linotype" w:cs="Times New Roman"/>
          <w:b/>
          <w:color w:val="1F4E79" w:themeColor="accent1" w:themeShade="80"/>
          <w:sz w:val="24"/>
          <w:szCs w:val="24"/>
          <w:lang w:eastAsia="cs-CZ"/>
        </w:rPr>
        <w:t>FORMULÁŘ:</w:t>
      </w:r>
      <w:r w:rsidR="006906E7">
        <w:rPr>
          <w:rFonts w:ascii="Palatino Linotype" w:eastAsia="Times New Roman" w:hAnsi="Palatino Linotype" w:cs="Times New Roman"/>
          <w:b/>
          <w:color w:val="1F4E79" w:themeColor="accent1" w:themeShade="80"/>
          <w:sz w:val="24"/>
          <w:szCs w:val="24"/>
          <w:lang w:eastAsia="cs-CZ"/>
        </w:rPr>
        <w:t xml:space="preserve"> </w:t>
      </w:r>
      <w:hyperlink r:id="rId5" w:history="1">
        <w:proofErr w:type="spellStart"/>
        <w:r w:rsidR="006906E7" w:rsidRPr="006906E7">
          <w:rPr>
            <w:rStyle w:val="Hypertextovodkaz"/>
            <w:rFonts w:ascii="Palatino Linotype" w:eastAsia="Times New Roman" w:hAnsi="Palatino Linotype" w:cs="Times New Roman"/>
            <w:b/>
            <w:sz w:val="24"/>
            <w:szCs w:val="24"/>
            <w:lang w:eastAsia="cs-CZ"/>
          </w:rPr>
          <w:t>Formular</w:t>
        </w:r>
        <w:proofErr w:type="spellEnd"/>
        <w:r w:rsidR="006906E7" w:rsidRPr="006906E7">
          <w:rPr>
            <w:rStyle w:val="Hypertextovodkaz"/>
            <w:rFonts w:ascii="Palatino Linotype" w:eastAsia="Times New Roman" w:hAnsi="Palatino Linotype" w:cs="Times New Roman"/>
            <w:b/>
            <w:sz w:val="24"/>
            <w:szCs w:val="24"/>
            <w:lang w:eastAsia="cs-CZ"/>
          </w:rPr>
          <w:t xml:space="preserve"> </w:t>
        </w:r>
        <w:proofErr w:type="spellStart"/>
        <w:r w:rsidR="006906E7" w:rsidRPr="006906E7">
          <w:rPr>
            <w:rStyle w:val="Hypertextovodkaz"/>
            <w:rFonts w:ascii="Palatino Linotype" w:eastAsia="Times New Roman" w:hAnsi="Palatino Linotype" w:cs="Times New Roman"/>
            <w:b/>
            <w:sz w:val="24"/>
            <w:szCs w:val="24"/>
            <w:lang w:eastAsia="cs-CZ"/>
          </w:rPr>
          <w:t>ohlaseni</w:t>
        </w:r>
        <w:proofErr w:type="spellEnd"/>
        <w:r w:rsidR="006906E7" w:rsidRPr="006906E7">
          <w:rPr>
            <w:rStyle w:val="Hypertextovodkaz"/>
            <w:rFonts w:ascii="Palatino Linotype" w:eastAsia="Times New Roman" w:hAnsi="Palatino Linotype" w:cs="Times New Roman"/>
            <w:b/>
            <w:sz w:val="24"/>
            <w:szCs w:val="24"/>
            <w:lang w:eastAsia="cs-CZ"/>
          </w:rPr>
          <w:t xml:space="preserve"> </w:t>
        </w:r>
        <w:proofErr w:type="spellStart"/>
        <w:r w:rsidR="006906E7" w:rsidRPr="006906E7">
          <w:rPr>
            <w:rStyle w:val="Hypertextovodkaz"/>
            <w:rFonts w:ascii="Palatino Linotype" w:eastAsia="Times New Roman" w:hAnsi="Palatino Linotype" w:cs="Times New Roman"/>
            <w:b/>
            <w:sz w:val="24"/>
            <w:szCs w:val="24"/>
            <w:lang w:eastAsia="cs-CZ"/>
          </w:rPr>
          <w:t>hazardni</w:t>
        </w:r>
        <w:proofErr w:type="spellEnd"/>
        <w:r w:rsidR="006906E7" w:rsidRPr="006906E7">
          <w:rPr>
            <w:rStyle w:val="Hypertextovodkaz"/>
            <w:rFonts w:ascii="Palatino Linotype" w:eastAsia="Times New Roman" w:hAnsi="Palatino Linotype" w:cs="Times New Roman"/>
            <w:b/>
            <w:sz w:val="24"/>
            <w:szCs w:val="24"/>
            <w:lang w:eastAsia="cs-CZ"/>
          </w:rPr>
          <w:t xml:space="preserve"> hry.docx</w:t>
        </w:r>
      </w:hyperlink>
    </w:p>
    <w:p w:rsidR="006E4116" w:rsidRPr="00007207" w:rsidRDefault="006E4116" w:rsidP="00645EB3">
      <w:pPr>
        <w:pStyle w:val="Nadpis4"/>
        <w:spacing w:before="120" w:after="120" w:line="360" w:lineRule="auto"/>
        <w:rPr>
          <w:rFonts w:ascii="Palatino Linotype" w:hAnsi="Palatino Linotype" w:cs="Times New Roman"/>
          <w:i w:val="0"/>
          <w:color w:val="2F5496" w:themeColor="accent5" w:themeShade="BF"/>
          <w:sz w:val="24"/>
          <w:szCs w:val="24"/>
        </w:rPr>
      </w:pPr>
      <w:r w:rsidRPr="00007207">
        <w:rPr>
          <w:rFonts w:ascii="Palatino Linotype" w:hAnsi="Palatino Linotype" w:cs="Times New Roman"/>
          <w:b/>
          <w:bCs/>
          <w:i w:val="0"/>
          <w:color w:val="2F5496" w:themeColor="accent5" w:themeShade="BF"/>
          <w:sz w:val="24"/>
          <w:szCs w:val="24"/>
        </w:rPr>
        <w:t>Pojmenování (název) životní situace:</w:t>
      </w:r>
    </w:p>
    <w:p w:rsidR="006E4116" w:rsidRPr="00007207" w:rsidRDefault="006E4116" w:rsidP="00645EB3">
      <w:pPr>
        <w:spacing w:before="120" w:after="120" w:line="360" w:lineRule="auto"/>
        <w:rPr>
          <w:rFonts w:ascii="Palatino Linotype" w:hAnsi="Palatino Linotype" w:cs="Times New Roman"/>
          <w:color w:val="404040"/>
          <w:sz w:val="18"/>
          <w:szCs w:val="18"/>
        </w:rPr>
      </w:pPr>
      <w:r w:rsidRPr="00007207">
        <w:rPr>
          <w:rFonts w:ascii="Palatino Linotype" w:hAnsi="Palatino Linotype" w:cs="Times New Roman"/>
          <w:color w:val="404040"/>
          <w:sz w:val="18"/>
          <w:szCs w:val="18"/>
        </w:rPr>
        <w:t>Ohlášení hazardní hry (ohlašování tombol a turnajů malého rozsahu)</w:t>
      </w:r>
    </w:p>
    <w:p w:rsidR="006E4116" w:rsidRPr="00007207" w:rsidRDefault="006E4116" w:rsidP="00645EB3">
      <w:pPr>
        <w:pStyle w:val="Nadpis4"/>
        <w:spacing w:before="120" w:after="120" w:line="360" w:lineRule="auto"/>
        <w:rPr>
          <w:rFonts w:ascii="Palatino Linotype" w:hAnsi="Palatino Linotype" w:cs="Times New Roman"/>
          <w:i w:val="0"/>
          <w:color w:val="2F5496" w:themeColor="accent5" w:themeShade="BF"/>
          <w:sz w:val="24"/>
          <w:szCs w:val="24"/>
        </w:rPr>
      </w:pPr>
      <w:r w:rsidRPr="00007207">
        <w:rPr>
          <w:rFonts w:ascii="Palatino Linotype" w:hAnsi="Palatino Linotype" w:cs="Times New Roman"/>
          <w:b/>
          <w:bCs/>
          <w:i w:val="0"/>
          <w:color w:val="2F5496" w:themeColor="accent5" w:themeShade="BF"/>
          <w:sz w:val="24"/>
          <w:szCs w:val="24"/>
        </w:rPr>
        <w:t>Základní informace k životní situaci:</w:t>
      </w:r>
    </w:p>
    <w:p w:rsidR="006E4116" w:rsidRPr="00007207" w:rsidRDefault="006E4116" w:rsidP="00645EB3">
      <w:pPr>
        <w:spacing w:before="120" w:after="120" w:line="360" w:lineRule="auto"/>
        <w:rPr>
          <w:rFonts w:ascii="Palatino Linotype" w:hAnsi="Palatino Linotype" w:cs="Times New Roman"/>
          <w:color w:val="404040"/>
          <w:sz w:val="18"/>
          <w:szCs w:val="18"/>
        </w:rPr>
      </w:pPr>
      <w:r w:rsidRPr="00007207">
        <w:rPr>
          <w:rFonts w:ascii="Palatino Linotype" w:hAnsi="Palatino Linotype" w:cs="Times New Roman"/>
          <w:color w:val="404040"/>
          <w:sz w:val="18"/>
          <w:szCs w:val="18"/>
        </w:rPr>
        <w:t>Při ohlašování se postupuje podle zákona č. 186/2016 Sb., o hazardních hrách a podle zákona č. 500/2004 Sb., správní řád, ve znění pozdějších předpisů.</w:t>
      </w:r>
    </w:p>
    <w:p w:rsidR="006E4116" w:rsidRPr="00007207" w:rsidRDefault="006E4116" w:rsidP="00645EB3">
      <w:pPr>
        <w:pStyle w:val="Nadpis4"/>
        <w:spacing w:before="120" w:after="120" w:line="360" w:lineRule="auto"/>
        <w:rPr>
          <w:rFonts w:ascii="Palatino Linotype" w:hAnsi="Palatino Linotype" w:cs="Times New Roman"/>
          <w:i w:val="0"/>
          <w:color w:val="2F5496" w:themeColor="accent5" w:themeShade="BF"/>
          <w:sz w:val="24"/>
          <w:szCs w:val="24"/>
        </w:rPr>
      </w:pPr>
      <w:r w:rsidRPr="00007207">
        <w:rPr>
          <w:rFonts w:ascii="Palatino Linotype" w:hAnsi="Palatino Linotype" w:cs="Times New Roman"/>
          <w:b/>
          <w:bCs/>
          <w:i w:val="0"/>
          <w:color w:val="2F5496" w:themeColor="accent5" w:themeShade="BF"/>
          <w:sz w:val="24"/>
          <w:szCs w:val="24"/>
        </w:rPr>
        <w:t>Kdo je oprávněn v této věci jednat (podat žádost apod.):</w:t>
      </w:r>
    </w:p>
    <w:p w:rsidR="006E4116" w:rsidRPr="002665F6" w:rsidRDefault="006E4116" w:rsidP="00645EB3">
      <w:pPr>
        <w:spacing w:before="120" w:after="120" w:line="360" w:lineRule="auto"/>
        <w:rPr>
          <w:rFonts w:ascii="Palatino Linotype" w:hAnsi="Palatino Linotype" w:cs="Times New Roman"/>
          <w:sz w:val="18"/>
          <w:szCs w:val="18"/>
        </w:rPr>
      </w:pPr>
      <w:r w:rsidRPr="00007207">
        <w:rPr>
          <w:rFonts w:ascii="Palatino Linotype" w:hAnsi="Palatino Linotype" w:cs="Times New Roman"/>
          <w:color w:val="404040"/>
          <w:sz w:val="18"/>
          <w:szCs w:val="18"/>
        </w:rPr>
        <w:t>Ohlášení provádí </w:t>
      </w:r>
      <w:r w:rsidRPr="00007207">
        <w:rPr>
          <w:rStyle w:val="Siln"/>
          <w:rFonts w:ascii="Palatino Linotype" w:hAnsi="Palatino Linotype" w:cs="Times New Roman"/>
          <w:color w:val="D70005"/>
          <w:sz w:val="18"/>
          <w:szCs w:val="18"/>
        </w:rPr>
        <w:t>provozovatel tomboly</w:t>
      </w:r>
      <w:r w:rsidRPr="00007207">
        <w:rPr>
          <w:rFonts w:ascii="Palatino Linotype" w:hAnsi="Palatino Linotype" w:cs="Times New Roman"/>
          <w:color w:val="404040"/>
          <w:sz w:val="18"/>
          <w:szCs w:val="18"/>
        </w:rPr>
        <w:t> (§ 6 odst. 1, 2 zákona o hazardních hrách)</w:t>
      </w:r>
      <w:r w:rsidRPr="00007207">
        <w:rPr>
          <w:rFonts w:ascii="Palatino Linotype" w:hAnsi="Palatino Linotype" w:cs="Times New Roman"/>
          <w:color w:val="404040"/>
          <w:sz w:val="18"/>
          <w:szCs w:val="18"/>
        </w:rPr>
        <w:br/>
      </w:r>
      <w:r w:rsidRPr="002665F6">
        <w:rPr>
          <w:rFonts w:ascii="Palatino Linotype" w:hAnsi="Palatino Linotype" w:cs="Times New Roman"/>
          <w:sz w:val="18"/>
          <w:szCs w:val="18"/>
        </w:rPr>
        <w:br/>
      </w:r>
      <w:r w:rsidRPr="002665F6">
        <w:rPr>
          <w:rStyle w:val="Siln"/>
          <w:rFonts w:ascii="Palatino Linotype" w:hAnsi="Palatino Linotype" w:cs="Times New Roman"/>
          <w:b w:val="0"/>
          <w:sz w:val="18"/>
          <w:szCs w:val="18"/>
        </w:rPr>
        <w:t>(1)</w:t>
      </w:r>
      <w:r w:rsidRPr="002665F6">
        <w:rPr>
          <w:rFonts w:ascii="Palatino Linotype" w:hAnsi="Palatino Linotype" w:cs="Times New Roman"/>
          <w:b/>
          <w:sz w:val="18"/>
          <w:szCs w:val="18"/>
        </w:rPr>
        <w:t> Provozovatelem hazardní hry, s výjimkou turnaje malého rozsahu, může být pouze</w:t>
      </w:r>
    </w:p>
    <w:p w:rsidR="006E4116" w:rsidRPr="002665F6" w:rsidRDefault="006E4116" w:rsidP="00645EB3">
      <w:pPr>
        <w:spacing w:before="120" w:after="120" w:line="360" w:lineRule="auto"/>
        <w:rPr>
          <w:rFonts w:ascii="Palatino Linotype" w:hAnsi="Palatino Linotype" w:cs="Times New Roman"/>
          <w:sz w:val="18"/>
          <w:szCs w:val="18"/>
        </w:rPr>
      </w:pPr>
      <w:r w:rsidRPr="002665F6">
        <w:rPr>
          <w:rStyle w:val="Siln"/>
          <w:rFonts w:ascii="Palatino Linotype" w:hAnsi="Palatino Linotype" w:cs="Times New Roman"/>
          <w:sz w:val="18"/>
          <w:szCs w:val="18"/>
        </w:rPr>
        <w:t>a)</w:t>
      </w:r>
      <w:r w:rsidRPr="002665F6">
        <w:rPr>
          <w:rFonts w:ascii="Palatino Linotype" w:hAnsi="Palatino Linotype" w:cs="Times New Roman"/>
          <w:sz w:val="18"/>
          <w:szCs w:val="18"/>
        </w:rPr>
        <w:t> Česká republika,</w:t>
      </w:r>
      <w:r w:rsidRPr="002665F6">
        <w:rPr>
          <w:rFonts w:ascii="Palatino Linotype" w:hAnsi="Palatino Linotype" w:cs="Times New Roman"/>
          <w:sz w:val="18"/>
          <w:szCs w:val="18"/>
        </w:rPr>
        <w:br/>
      </w:r>
      <w:r w:rsidRPr="002665F6">
        <w:rPr>
          <w:rStyle w:val="Siln"/>
          <w:rFonts w:ascii="Palatino Linotype" w:hAnsi="Palatino Linotype" w:cs="Times New Roman"/>
          <w:sz w:val="18"/>
          <w:szCs w:val="18"/>
        </w:rPr>
        <w:t>b)</w:t>
      </w:r>
      <w:r w:rsidRPr="002665F6">
        <w:rPr>
          <w:rFonts w:ascii="Palatino Linotype" w:hAnsi="Palatino Linotype" w:cs="Times New Roman"/>
          <w:sz w:val="18"/>
          <w:szCs w:val="18"/>
        </w:rPr>
        <w:t> právnická osoba, která má</w:t>
      </w:r>
    </w:p>
    <w:p w:rsidR="006E4116" w:rsidRPr="002665F6" w:rsidRDefault="006E4116" w:rsidP="00C21920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Palatino Linotype" w:hAnsi="Palatino Linotype" w:cs="Times New Roman"/>
          <w:sz w:val="18"/>
          <w:szCs w:val="18"/>
        </w:rPr>
      </w:pPr>
      <w:r w:rsidRPr="002665F6">
        <w:rPr>
          <w:rFonts w:ascii="Palatino Linotype" w:hAnsi="Palatino Linotype" w:cs="Times New Roman"/>
          <w:sz w:val="18"/>
          <w:szCs w:val="18"/>
        </w:rPr>
        <w:t>sídlo v České republice, jiném členském státě Evropské unie nebo ve státě, který je smluvní stranou Dohody o Evropském hospodářském prostoru,</w:t>
      </w:r>
    </w:p>
    <w:p w:rsidR="006E4116" w:rsidRPr="002665F6" w:rsidRDefault="006E4116" w:rsidP="00C21920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Palatino Linotype" w:hAnsi="Palatino Linotype" w:cs="Times New Roman"/>
          <w:sz w:val="18"/>
          <w:szCs w:val="18"/>
        </w:rPr>
      </w:pPr>
      <w:r w:rsidRPr="002665F6">
        <w:rPr>
          <w:rFonts w:ascii="Palatino Linotype" w:hAnsi="Palatino Linotype" w:cs="Times New Roman"/>
          <w:sz w:val="18"/>
          <w:szCs w:val="18"/>
        </w:rPr>
        <w:t>organizační strukturu s řádným, průhledným a uceleným vymezením působností a rozhodovacích pravomocí,</w:t>
      </w:r>
    </w:p>
    <w:p w:rsidR="006E4116" w:rsidRPr="002665F6" w:rsidRDefault="006E4116" w:rsidP="00C21920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Palatino Linotype" w:hAnsi="Palatino Linotype" w:cs="Times New Roman"/>
          <w:sz w:val="18"/>
          <w:szCs w:val="18"/>
        </w:rPr>
      </w:pPr>
      <w:r w:rsidRPr="002665F6">
        <w:rPr>
          <w:rFonts w:ascii="Palatino Linotype" w:hAnsi="Palatino Linotype" w:cs="Times New Roman"/>
          <w:sz w:val="18"/>
          <w:szCs w:val="18"/>
        </w:rPr>
        <w:t>zřízenou dozorčí radu, správní radu nebo jiný obdobný kontrolní orgán (dále jen „kontrolní orgán“),</w:t>
      </w:r>
    </w:p>
    <w:p w:rsidR="006E4116" w:rsidRPr="002665F6" w:rsidRDefault="006E4116" w:rsidP="00C21920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Palatino Linotype" w:hAnsi="Palatino Linotype" w:cs="Times New Roman"/>
          <w:sz w:val="18"/>
          <w:szCs w:val="18"/>
        </w:rPr>
      </w:pPr>
      <w:r w:rsidRPr="002665F6">
        <w:rPr>
          <w:rFonts w:ascii="Palatino Linotype" w:hAnsi="Palatino Linotype" w:cs="Times New Roman"/>
          <w:sz w:val="18"/>
          <w:szCs w:val="18"/>
        </w:rPr>
        <w:t>vlastní zdroje v minimální výši 2.000.000 EUR,</w:t>
      </w:r>
    </w:p>
    <w:p w:rsidR="006E4116" w:rsidRPr="002665F6" w:rsidRDefault="006E4116" w:rsidP="00C21920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Palatino Linotype" w:hAnsi="Palatino Linotype" w:cs="Times New Roman"/>
          <w:sz w:val="18"/>
          <w:szCs w:val="18"/>
        </w:rPr>
      </w:pPr>
      <w:r w:rsidRPr="002665F6">
        <w:rPr>
          <w:rFonts w:ascii="Palatino Linotype" w:hAnsi="Palatino Linotype" w:cs="Times New Roman"/>
          <w:sz w:val="18"/>
          <w:szCs w:val="18"/>
        </w:rPr>
        <w:t>průhledný a nezávadný původ zdrojů,</w:t>
      </w:r>
    </w:p>
    <w:p w:rsidR="006E4116" w:rsidRPr="002665F6" w:rsidRDefault="006E4116" w:rsidP="00C21920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Palatino Linotype" w:hAnsi="Palatino Linotype" w:cs="Times New Roman"/>
          <w:sz w:val="18"/>
          <w:szCs w:val="18"/>
        </w:rPr>
      </w:pPr>
      <w:r w:rsidRPr="002665F6">
        <w:rPr>
          <w:rFonts w:ascii="Palatino Linotype" w:hAnsi="Palatino Linotype" w:cs="Times New Roman"/>
          <w:sz w:val="18"/>
          <w:szCs w:val="18"/>
        </w:rPr>
        <w:t>průhlednou vlastnickou strukturu, ze které je zřejmé, kdo je jejím skutečným majitelem podle zákona upravujícího opatření proti legalizaci výnosů z trestné činnosti a financování terorismu (dále jen „skutečný majitel“), a</w:t>
      </w:r>
    </w:p>
    <w:p w:rsidR="006E4116" w:rsidRPr="002665F6" w:rsidRDefault="006E4116" w:rsidP="00C21920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Palatino Linotype" w:hAnsi="Palatino Linotype" w:cs="Times New Roman"/>
          <w:sz w:val="18"/>
          <w:szCs w:val="18"/>
        </w:rPr>
      </w:pPr>
      <w:r w:rsidRPr="002665F6">
        <w:rPr>
          <w:rFonts w:ascii="Palatino Linotype" w:hAnsi="Palatino Linotype" w:cs="Times New Roman"/>
          <w:sz w:val="18"/>
          <w:szCs w:val="18"/>
        </w:rPr>
        <w:t>věcné, personální a organizační předpoklady potřebné pro výkon činnosti v rozsahu, v jakém hodlá provozovat hazardní hry.</w:t>
      </w:r>
    </w:p>
    <w:p w:rsidR="006E4116" w:rsidRPr="00007207" w:rsidRDefault="006E4116" w:rsidP="00645EB3">
      <w:pPr>
        <w:spacing w:before="120" w:after="120" w:line="360" w:lineRule="auto"/>
        <w:rPr>
          <w:rFonts w:ascii="Palatino Linotype" w:hAnsi="Palatino Linotype" w:cs="Times New Roman"/>
          <w:color w:val="404040"/>
          <w:sz w:val="18"/>
          <w:szCs w:val="18"/>
        </w:rPr>
      </w:pPr>
      <w:r w:rsidRPr="002665F6">
        <w:rPr>
          <w:rFonts w:ascii="Palatino Linotype" w:hAnsi="Palatino Linotype" w:cs="Times New Roman"/>
          <w:sz w:val="18"/>
          <w:szCs w:val="18"/>
        </w:rPr>
        <w:br/>
      </w:r>
      <w:r w:rsidRPr="002665F6">
        <w:rPr>
          <w:rStyle w:val="Siln"/>
          <w:rFonts w:ascii="Palatino Linotype" w:hAnsi="Palatino Linotype" w:cs="Times New Roman"/>
          <w:b w:val="0"/>
          <w:sz w:val="18"/>
          <w:szCs w:val="18"/>
        </w:rPr>
        <w:t>(2) </w:t>
      </w:r>
      <w:r w:rsidRPr="002665F6">
        <w:rPr>
          <w:rFonts w:ascii="Palatino Linotype" w:hAnsi="Palatino Linotype" w:cs="Times New Roman"/>
          <w:b/>
          <w:sz w:val="18"/>
          <w:szCs w:val="18"/>
        </w:rPr>
        <w:t xml:space="preserve">Provozovatelem tomboly může být i jiná právnická osoba než podle odstavce 1, která má sídlo v České republice, jiném členském státě Evropské unie nebo ve státě, který je smluvní stranou Dohody o Evropském </w:t>
      </w:r>
      <w:r w:rsidRPr="00007207">
        <w:rPr>
          <w:rFonts w:ascii="Palatino Linotype" w:hAnsi="Palatino Linotype" w:cs="Times New Roman"/>
          <w:b/>
          <w:color w:val="404040"/>
          <w:sz w:val="18"/>
          <w:szCs w:val="18"/>
        </w:rPr>
        <w:t>hospodářském prostoru.</w:t>
      </w:r>
      <w:r w:rsidRPr="00007207">
        <w:rPr>
          <w:rFonts w:ascii="Palatino Linotype" w:hAnsi="Palatino Linotype" w:cs="Times New Roman"/>
          <w:color w:val="404040"/>
          <w:sz w:val="18"/>
          <w:szCs w:val="18"/>
        </w:rPr>
        <w:br/>
      </w:r>
      <w:r w:rsidRPr="00007207">
        <w:rPr>
          <w:rFonts w:ascii="Palatino Linotype" w:hAnsi="Palatino Linotype" w:cs="Times New Roman"/>
          <w:color w:val="404040"/>
          <w:sz w:val="18"/>
          <w:szCs w:val="18"/>
        </w:rPr>
        <w:br/>
        <w:t>a </w:t>
      </w:r>
      <w:r w:rsidRPr="00007207">
        <w:rPr>
          <w:rStyle w:val="Siln"/>
          <w:rFonts w:ascii="Palatino Linotype" w:hAnsi="Palatino Linotype" w:cs="Times New Roman"/>
          <w:color w:val="D70005"/>
          <w:sz w:val="18"/>
          <w:szCs w:val="18"/>
        </w:rPr>
        <w:t>provozovatel turnaje malého rozsahu</w:t>
      </w:r>
      <w:r w:rsidRPr="00007207">
        <w:rPr>
          <w:rFonts w:ascii="Palatino Linotype" w:hAnsi="Palatino Linotype" w:cs="Times New Roman"/>
          <w:color w:val="404040"/>
          <w:sz w:val="18"/>
          <w:szCs w:val="18"/>
        </w:rPr>
        <w:t> (§ 6 odst. 3 zákona o hazardních hrách), kterým může být pouze právnická osoba,</w:t>
      </w:r>
    </w:p>
    <w:p w:rsidR="006E4116" w:rsidRPr="00007207" w:rsidRDefault="006E4116" w:rsidP="00645EB3">
      <w:pPr>
        <w:spacing w:before="120" w:after="120" w:line="360" w:lineRule="auto"/>
        <w:rPr>
          <w:rFonts w:ascii="Palatino Linotype" w:hAnsi="Palatino Linotype" w:cs="Times New Roman"/>
          <w:color w:val="404040"/>
          <w:sz w:val="18"/>
          <w:szCs w:val="18"/>
        </w:rPr>
      </w:pPr>
      <w:r w:rsidRPr="00007207">
        <w:rPr>
          <w:rStyle w:val="Siln"/>
          <w:rFonts w:ascii="Palatino Linotype" w:hAnsi="Palatino Linotype" w:cs="Times New Roman"/>
          <w:color w:val="404040"/>
          <w:sz w:val="18"/>
          <w:szCs w:val="18"/>
        </w:rPr>
        <w:lastRenderedPageBreak/>
        <w:t>a)</w:t>
      </w:r>
      <w:r w:rsidRPr="00007207">
        <w:rPr>
          <w:rFonts w:ascii="Palatino Linotype" w:hAnsi="Palatino Linotype" w:cs="Times New Roman"/>
          <w:color w:val="404040"/>
          <w:sz w:val="18"/>
          <w:szCs w:val="18"/>
        </w:rPr>
        <w:t> která má sídlo v České republice, jiném členském státě Evropské unie nebo ve státě, který je smluvní stranou Dohody o Evropském hospodářském prostoru,</w:t>
      </w:r>
      <w:r w:rsidRPr="00007207">
        <w:rPr>
          <w:rFonts w:ascii="Palatino Linotype" w:hAnsi="Palatino Linotype" w:cs="Times New Roman"/>
          <w:color w:val="404040"/>
          <w:sz w:val="18"/>
          <w:szCs w:val="18"/>
        </w:rPr>
        <w:br/>
      </w:r>
      <w:r w:rsidRPr="00007207">
        <w:rPr>
          <w:rStyle w:val="Siln"/>
          <w:rFonts w:ascii="Palatino Linotype" w:hAnsi="Palatino Linotype" w:cs="Times New Roman"/>
          <w:color w:val="404040"/>
          <w:sz w:val="18"/>
          <w:szCs w:val="18"/>
        </w:rPr>
        <w:t>b)</w:t>
      </w:r>
      <w:r w:rsidRPr="00007207">
        <w:rPr>
          <w:rFonts w:ascii="Palatino Linotype" w:hAnsi="Palatino Linotype" w:cs="Times New Roman"/>
          <w:color w:val="404040"/>
          <w:sz w:val="18"/>
          <w:szCs w:val="18"/>
        </w:rPr>
        <w:t> jejímž předmětem hlavní činnosti není podnikání, a</w:t>
      </w:r>
      <w:r w:rsidRPr="00007207">
        <w:rPr>
          <w:rFonts w:ascii="Palatino Linotype" w:hAnsi="Palatino Linotype" w:cs="Times New Roman"/>
          <w:color w:val="404040"/>
          <w:sz w:val="18"/>
          <w:szCs w:val="18"/>
        </w:rPr>
        <w:br/>
      </w:r>
      <w:r w:rsidRPr="00007207">
        <w:rPr>
          <w:rStyle w:val="Siln"/>
          <w:rFonts w:ascii="Palatino Linotype" w:hAnsi="Palatino Linotype" w:cs="Times New Roman"/>
          <w:color w:val="404040"/>
          <w:sz w:val="18"/>
          <w:szCs w:val="18"/>
        </w:rPr>
        <w:t>c) </w:t>
      </w:r>
      <w:r w:rsidRPr="00007207">
        <w:rPr>
          <w:rFonts w:ascii="Palatino Linotype" w:hAnsi="Palatino Linotype" w:cs="Times New Roman"/>
          <w:color w:val="404040"/>
          <w:sz w:val="18"/>
          <w:szCs w:val="18"/>
        </w:rPr>
        <w:t>jejíž podnikání v rámci vedlejší činnosti a jeho výtěžky, pokud takovou činnost vyvíjí, slouží jen k podpoře hlavní činnosti.</w:t>
      </w:r>
    </w:p>
    <w:p w:rsidR="006E4116" w:rsidRPr="00007207" w:rsidRDefault="006E4116" w:rsidP="00645EB3">
      <w:pPr>
        <w:pStyle w:val="Nadpis4"/>
        <w:spacing w:before="120" w:after="120" w:line="360" w:lineRule="auto"/>
        <w:rPr>
          <w:rFonts w:ascii="Palatino Linotype" w:hAnsi="Palatino Linotype" w:cs="Times New Roman"/>
          <w:i w:val="0"/>
          <w:color w:val="2F5496" w:themeColor="accent5" w:themeShade="BF"/>
          <w:sz w:val="24"/>
          <w:szCs w:val="24"/>
        </w:rPr>
      </w:pPr>
      <w:r w:rsidRPr="00007207">
        <w:rPr>
          <w:rFonts w:ascii="Palatino Linotype" w:hAnsi="Palatino Linotype" w:cs="Times New Roman"/>
          <w:b/>
          <w:bCs/>
          <w:i w:val="0"/>
          <w:color w:val="2F5496" w:themeColor="accent5" w:themeShade="BF"/>
          <w:sz w:val="24"/>
          <w:szCs w:val="24"/>
        </w:rPr>
        <w:t>Jaké jsou podmínky a postup pro řešení životní situace:</w:t>
      </w:r>
    </w:p>
    <w:p w:rsidR="006E4116" w:rsidRPr="00007207" w:rsidRDefault="006E4116" w:rsidP="00645EB3">
      <w:pPr>
        <w:spacing w:before="120" w:after="120" w:line="360" w:lineRule="auto"/>
        <w:rPr>
          <w:rFonts w:ascii="Palatino Linotype" w:hAnsi="Palatino Linotype" w:cs="Times New Roman"/>
          <w:color w:val="404040"/>
          <w:sz w:val="18"/>
          <w:szCs w:val="18"/>
        </w:rPr>
      </w:pPr>
      <w:r w:rsidRPr="00007207">
        <w:rPr>
          <w:rFonts w:ascii="Palatino Linotype" w:hAnsi="Palatino Linotype" w:cs="Times New Roman"/>
          <w:color w:val="404040"/>
          <w:sz w:val="18"/>
          <w:szCs w:val="18"/>
        </w:rPr>
        <w:t xml:space="preserve">Hazardní hry se ohlašují Úřadu městské části Praha 1, Odbor finanční, odd. </w:t>
      </w:r>
      <w:proofErr w:type="gramStart"/>
      <w:r w:rsidRPr="00007207">
        <w:rPr>
          <w:rFonts w:ascii="Palatino Linotype" w:hAnsi="Palatino Linotype" w:cs="Times New Roman"/>
          <w:color w:val="404040"/>
          <w:sz w:val="18"/>
          <w:szCs w:val="18"/>
        </w:rPr>
        <w:t>místních</w:t>
      </w:r>
      <w:proofErr w:type="gramEnd"/>
      <w:r w:rsidRPr="00007207">
        <w:rPr>
          <w:rFonts w:ascii="Palatino Linotype" w:hAnsi="Palatino Linotype" w:cs="Times New Roman"/>
          <w:color w:val="404040"/>
          <w:sz w:val="18"/>
          <w:szCs w:val="18"/>
        </w:rPr>
        <w:t xml:space="preserve"> příjmů, Vodičkova 681/18,  115 68 Praha 1, a to </w:t>
      </w:r>
      <w:r w:rsidRPr="00007207">
        <w:rPr>
          <w:rStyle w:val="Siln"/>
          <w:rFonts w:ascii="Palatino Linotype" w:hAnsi="Palatino Linotype" w:cs="Times New Roman"/>
          <w:color w:val="404040"/>
          <w:sz w:val="18"/>
          <w:szCs w:val="18"/>
        </w:rPr>
        <w:t>nejméně 30 dní před dnem předpokládaného zahájení provozování hazardní hry</w:t>
      </w:r>
      <w:r w:rsidRPr="00007207">
        <w:rPr>
          <w:rFonts w:ascii="Palatino Linotype" w:hAnsi="Palatino Linotype" w:cs="Times New Roman"/>
          <w:color w:val="404040"/>
          <w:sz w:val="18"/>
          <w:szCs w:val="18"/>
        </w:rPr>
        <w:t>.</w:t>
      </w:r>
      <w:r w:rsidRPr="00007207">
        <w:rPr>
          <w:rFonts w:ascii="Palatino Linotype" w:hAnsi="Palatino Linotype" w:cs="Times New Roman"/>
          <w:color w:val="404040"/>
          <w:sz w:val="18"/>
          <w:szCs w:val="18"/>
        </w:rPr>
        <w:br/>
      </w:r>
      <w:r w:rsidRPr="00007207">
        <w:rPr>
          <w:rFonts w:ascii="Palatino Linotype" w:hAnsi="Palatino Linotype" w:cs="Times New Roman"/>
          <w:color w:val="404040"/>
          <w:sz w:val="18"/>
          <w:szCs w:val="18"/>
        </w:rPr>
        <w:br/>
        <w:t>U tombol s herní jistinou nad 100.000 Kč a u všech turnajů malého rozsahu musí ohlášení kromě obecných náležitostí dle správního řádu obsahovat (§ 107 zákona o hazardních hrách):</w:t>
      </w:r>
    </w:p>
    <w:p w:rsidR="006E4116" w:rsidRPr="00007207" w:rsidRDefault="006E4116" w:rsidP="00C21920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Palatino Linotype" w:hAnsi="Palatino Linotype" w:cs="Times New Roman"/>
          <w:color w:val="404040"/>
          <w:sz w:val="18"/>
          <w:szCs w:val="18"/>
        </w:rPr>
      </w:pPr>
      <w:r w:rsidRPr="00007207">
        <w:rPr>
          <w:rFonts w:ascii="Palatino Linotype" w:hAnsi="Palatino Linotype" w:cs="Times New Roman"/>
          <w:color w:val="404040"/>
          <w:sz w:val="18"/>
          <w:szCs w:val="18"/>
        </w:rPr>
        <w:t>název a popis ohlašované hazardní hry</w:t>
      </w:r>
      <w:r w:rsidR="00B36CF3">
        <w:rPr>
          <w:rFonts w:ascii="Palatino Linotype" w:hAnsi="Palatino Linotype" w:cs="Times New Roman"/>
          <w:color w:val="404040"/>
          <w:sz w:val="18"/>
          <w:szCs w:val="18"/>
        </w:rPr>
        <w:t>;</w:t>
      </w:r>
    </w:p>
    <w:p w:rsidR="006E4116" w:rsidRPr="00007207" w:rsidRDefault="00A23EEB" w:rsidP="00C21920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Palatino Linotype" w:hAnsi="Palatino Linotype" w:cs="Times New Roman"/>
          <w:color w:val="404040"/>
          <w:sz w:val="18"/>
          <w:szCs w:val="18"/>
        </w:rPr>
      </w:pPr>
      <w:r>
        <w:rPr>
          <w:rFonts w:ascii="Palatino Linotype" w:hAnsi="Palatino Linotype" w:cs="Times New Roman"/>
          <w:color w:val="404040"/>
          <w:sz w:val="18"/>
          <w:szCs w:val="18"/>
        </w:rPr>
        <w:t>adresa</w:t>
      </w:r>
      <w:r w:rsidR="006E4116" w:rsidRPr="00007207">
        <w:rPr>
          <w:rFonts w:ascii="Palatino Linotype" w:hAnsi="Palatino Linotype" w:cs="Times New Roman"/>
          <w:color w:val="404040"/>
          <w:sz w:val="18"/>
          <w:szCs w:val="18"/>
        </w:rPr>
        <w:t xml:space="preserve"> místa, kde bude ohlašovaná hazardní hra provozována</w:t>
      </w:r>
      <w:r w:rsidR="00B36CF3">
        <w:rPr>
          <w:rFonts w:ascii="Palatino Linotype" w:hAnsi="Palatino Linotype" w:cs="Times New Roman"/>
          <w:color w:val="404040"/>
          <w:sz w:val="18"/>
          <w:szCs w:val="18"/>
        </w:rPr>
        <w:t>;</w:t>
      </w:r>
    </w:p>
    <w:p w:rsidR="006E4116" w:rsidRPr="00007207" w:rsidRDefault="006E4116" w:rsidP="00C21920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Palatino Linotype" w:hAnsi="Palatino Linotype" w:cs="Times New Roman"/>
          <w:color w:val="404040"/>
          <w:sz w:val="18"/>
          <w:szCs w:val="18"/>
        </w:rPr>
      </w:pPr>
      <w:r w:rsidRPr="00007207">
        <w:rPr>
          <w:rFonts w:ascii="Palatino Linotype" w:hAnsi="Palatino Linotype" w:cs="Times New Roman"/>
          <w:color w:val="404040"/>
          <w:sz w:val="18"/>
          <w:szCs w:val="18"/>
        </w:rPr>
        <w:t>dobu, po kterou bude ohlašovaná hazardní hra provozována, stanovenou přesným dnem jejího zahájení a ukončení</w:t>
      </w:r>
      <w:r w:rsidR="00B36CF3">
        <w:rPr>
          <w:rFonts w:ascii="Palatino Linotype" w:hAnsi="Palatino Linotype" w:cs="Times New Roman"/>
          <w:color w:val="404040"/>
          <w:sz w:val="18"/>
          <w:szCs w:val="18"/>
        </w:rPr>
        <w:t>;</w:t>
      </w:r>
    </w:p>
    <w:p w:rsidR="006E4116" w:rsidRPr="00007207" w:rsidRDefault="006E4116" w:rsidP="00C21920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Palatino Linotype" w:hAnsi="Palatino Linotype" w:cs="Times New Roman"/>
          <w:color w:val="404040"/>
          <w:sz w:val="18"/>
          <w:szCs w:val="18"/>
        </w:rPr>
      </w:pPr>
      <w:r w:rsidRPr="00007207">
        <w:rPr>
          <w:rFonts w:ascii="Palatino Linotype" w:hAnsi="Palatino Linotype" w:cs="Times New Roman"/>
          <w:color w:val="404040"/>
          <w:sz w:val="18"/>
          <w:szCs w:val="18"/>
        </w:rPr>
        <w:t>určení osoby, která bude zajišťovat řádný průběh hazardní hry a dodržování podmínek stanovených tímto zákonem</w:t>
      </w:r>
      <w:r w:rsidR="00B36CF3">
        <w:rPr>
          <w:rFonts w:ascii="Palatino Linotype" w:hAnsi="Palatino Linotype" w:cs="Times New Roman"/>
          <w:color w:val="404040"/>
          <w:sz w:val="18"/>
          <w:szCs w:val="18"/>
        </w:rPr>
        <w:t>;</w:t>
      </w:r>
    </w:p>
    <w:p w:rsidR="006E4116" w:rsidRPr="00007207" w:rsidRDefault="006E4116" w:rsidP="00C21920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Palatino Linotype" w:hAnsi="Palatino Linotype" w:cs="Times New Roman"/>
          <w:color w:val="404040"/>
          <w:sz w:val="18"/>
          <w:szCs w:val="18"/>
        </w:rPr>
      </w:pPr>
      <w:r w:rsidRPr="00007207">
        <w:rPr>
          <w:rFonts w:ascii="Palatino Linotype" w:hAnsi="Palatino Linotype" w:cs="Times New Roman"/>
          <w:color w:val="404040"/>
          <w:sz w:val="18"/>
          <w:szCs w:val="18"/>
        </w:rPr>
        <w:t>herní plán</w:t>
      </w:r>
      <w:r w:rsidR="00B36CF3">
        <w:rPr>
          <w:rFonts w:ascii="Palatino Linotype" w:hAnsi="Palatino Linotype" w:cs="Times New Roman"/>
          <w:color w:val="404040"/>
          <w:sz w:val="18"/>
          <w:szCs w:val="18"/>
        </w:rPr>
        <w:t>;</w:t>
      </w:r>
    </w:p>
    <w:p w:rsidR="006E4116" w:rsidRPr="00007207" w:rsidRDefault="006E4116" w:rsidP="00C21920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Palatino Linotype" w:hAnsi="Palatino Linotype" w:cs="Times New Roman"/>
          <w:color w:val="404040"/>
          <w:sz w:val="18"/>
          <w:szCs w:val="18"/>
        </w:rPr>
      </w:pPr>
      <w:r w:rsidRPr="00007207">
        <w:rPr>
          <w:rFonts w:ascii="Palatino Linotype" w:hAnsi="Palatino Linotype" w:cs="Times New Roman"/>
          <w:color w:val="404040"/>
          <w:sz w:val="18"/>
          <w:szCs w:val="18"/>
        </w:rPr>
        <w:t>v případě tomboly identifikační údaje notáře, který osvědčí průběh slosování</w:t>
      </w:r>
      <w:r w:rsidR="00B36CF3">
        <w:rPr>
          <w:rFonts w:ascii="Palatino Linotype" w:hAnsi="Palatino Linotype" w:cs="Times New Roman"/>
          <w:color w:val="404040"/>
          <w:sz w:val="18"/>
          <w:szCs w:val="18"/>
        </w:rPr>
        <w:t>.</w:t>
      </w:r>
    </w:p>
    <w:p w:rsidR="006E4116" w:rsidRPr="00007207" w:rsidRDefault="006E4116" w:rsidP="00645EB3">
      <w:pPr>
        <w:spacing w:before="120" w:after="120" w:line="360" w:lineRule="auto"/>
        <w:rPr>
          <w:rStyle w:val="Siln"/>
          <w:rFonts w:ascii="Palatino Linotype" w:hAnsi="Palatino Linotype" w:cs="Times New Roman"/>
          <w:color w:val="404040"/>
          <w:sz w:val="18"/>
          <w:szCs w:val="18"/>
        </w:rPr>
      </w:pPr>
      <w:r w:rsidRPr="00007207">
        <w:rPr>
          <w:rFonts w:ascii="Palatino Linotype" w:hAnsi="Palatino Linotype" w:cs="Times New Roman"/>
          <w:color w:val="404040"/>
          <w:sz w:val="18"/>
          <w:szCs w:val="18"/>
        </w:rPr>
        <w:br/>
        <w:t>Za každou jednotlivou hru se podává samostatné ohlášení.</w:t>
      </w:r>
      <w:r w:rsidRPr="00007207">
        <w:rPr>
          <w:rFonts w:ascii="Palatino Linotype" w:hAnsi="Palatino Linotype" w:cs="Times New Roman"/>
          <w:color w:val="404040"/>
          <w:sz w:val="18"/>
          <w:szCs w:val="18"/>
        </w:rPr>
        <w:br/>
      </w:r>
      <w:r w:rsidRPr="00007207">
        <w:rPr>
          <w:rFonts w:ascii="Palatino Linotype" w:hAnsi="Palatino Linotype" w:cs="Times New Roman"/>
          <w:color w:val="404040"/>
          <w:sz w:val="18"/>
          <w:szCs w:val="18"/>
        </w:rPr>
        <w:br/>
      </w:r>
      <w:r w:rsidRPr="00007207">
        <w:rPr>
          <w:rStyle w:val="Siln"/>
          <w:rFonts w:ascii="Palatino Linotype" w:hAnsi="Palatino Linotype" w:cs="Times New Roman"/>
          <w:color w:val="FF0000"/>
        </w:rPr>
        <w:t>Tombola s herní jistinou do 100.000 Kč se neohlašuje (§ 105 zákona o hazardních hrách).</w:t>
      </w:r>
    </w:p>
    <w:p w:rsidR="006E4116" w:rsidRPr="00007207" w:rsidRDefault="006E4116" w:rsidP="00645EB3">
      <w:pPr>
        <w:spacing w:before="120" w:after="120" w:line="360" w:lineRule="auto"/>
        <w:rPr>
          <w:rFonts w:ascii="Palatino Linotype" w:hAnsi="Palatino Linotype" w:cs="Times New Roman"/>
          <w:color w:val="404040"/>
          <w:sz w:val="18"/>
          <w:szCs w:val="18"/>
        </w:rPr>
      </w:pPr>
    </w:p>
    <w:p w:rsidR="006E4116" w:rsidRPr="00007207" w:rsidRDefault="006E4116" w:rsidP="00645EB3">
      <w:pPr>
        <w:pStyle w:val="Nadpis4"/>
        <w:spacing w:before="120" w:after="120" w:line="360" w:lineRule="auto"/>
        <w:rPr>
          <w:rFonts w:ascii="Palatino Linotype" w:hAnsi="Palatino Linotype" w:cs="Times New Roman"/>
          <w:i w:val="0"/>
          <w:color w:val="2F5496" w:themeColor="accent5" w:themeShade="BF"/>
          <w:sz w:val="24"/>
          <w:szCs w:val="24"/>
        </w:rPr>
      </w:pPr>
      <w:r w:rsidRPr="00007207">
        <w:rPr>
          <w:rFonts w:ascii="Palatino Linotype" w:hAnsi="Palatino Linotype" w:cs="Times New Roman"/>
          <w:b/>
          <w:bCs/>
          <w:i w:val="0"/>
          <w:color w:val="2F5496" w:themeColor="accent5" w:themeShade="BF"/>
          <w:sz w:val="24"/>
          <w:szCs w:val="24"/>
        </w:rPr>
        <w:t>Jakým způsobem zahájit řešení životní situace:</w:t>
      </w:r>
    </w:p>
    <w:p w:rsidR="002665F6" w:rsidRDefault="006E4116" w:rsidP="00645EB3">
      <w:pPr>
        <w:spacing w:before="120" w:after="120" w:line="360" w:lineRule="auto"/>
        <w:rPr>
          <w:rFonts w:ascii="Palatino Linotype" w:hAnsi="Palatino Linotype" w:cs="Times New Roman"/>
          <w:color w:val="404040"/>
          <w:sz w:val="18"/>
          <w:szCs w:val="18"/>
        </w:rPr>
      </w:pPr>
      <w:r w:rsidRPr="00007207">
        <w:rPr>
          <w:rFonts w:ascii="Palatino Linotype" w:hAnsi="Palatino Linotype" w:cs="Times New Roman"/>
          <w:color w:val="404040"/>
          <w:sz w:val="18"/>
          <w:szCs w:val="18"/>
        </w:rPr>
        <w:t>Ohlášení zaslat elektronicky datovou schránkou, poštou nebo osobně</w:t>
      </w:r>
      <w:r w:rsidR="002434F4" w:rsidRPr="00007207">
        <w:rPr>
          <w:rFonts w:ascii="Palatino Linotype" w:hAnsi="Palatino Linotype" w:cs="Times New Roman"/>
          <w:color w:val="404040"/>
          <w:sz w:val="18"/>
          <w:szCs w:val="18"/>
        </w:rPr>
        <w:t xml:space="preserve"> v úřední dny PO a ST: 08.00-18.00 h, nebo na podatelnu kdykoliv v týdnu.</w:t>
      </w:r>
    </w:p>
    <w:p w:rsidR="002665F6" w:rsidRDefault="002665F6" w:rsidP="002665F6">
      <w:r>
        <w:br w:type="page"/>
      </w:r>
    </w:p>
    <w:p w:rsidR="006E4116" w:rsidRPr="00007207" w:rsidRDefault="006E4116" w:rsidP="00645EB3">
      <w:pPr>
        <w:spacing w:before="120" w:after="120" w:line="360" w:lineRule="auto"/>
        <w:rPr>
          <w:rFonts w:ascii="Palatino Linotype" w:hAnsi="Palatino Linotype" w:cs="Times New Roman"/>
          <w:color w:val="404040"/>
          <w:sz w:val="18"/>
          <w:szCs w:val="18"/>
        </w:rPr>
      </w:pPr>
    </w:p>
    <w:p w:rsidR="004E6D48" w:rsidRPr="00007207" w:rsidRDefault="004E6D48" w:rsidP="00645EB3">
      <w:pPr>
        <w:pStyle w:val="Bezmezer"/>
        <w:spacing w:before="120" w:after="120" w:line="360" w:lineRule="auto"/>
        <w:rPr>
          <w:rFonts w:ascii="Palatino Linotype" w:hAnsi="Palatino Linotype" w:cs="Times New Roman"/>
          <w:b/>
          <w:color w:val="2F5496" w:themeColor="accent5" w:themeShade="BF"/>
          <w:sz w:val="24"/>
          <w:szCs w:val="24"/>
        </w:rPr>
      </w:pPr>
      <w:r w:rsidRPr="00007207">
        <w:rPr>
          <w:rFonts w:ascii="Palatino Linotype" w:hAnsi="Palatino Linotype" w:cs="Times New Roman"/>
          <w:b/>
          <w:color w:val="2F5496" w:themeColor="accent5" w:themeShade="BF"/>
          <w:sz w:val="24"/>
          <w:szCs w:val="24"/>
        </w:rPr>
        <w:t>Kde a s kým životní situaci řešit:</w:t>
      </w:r>
    </w:p>
    <w:p w:rsidR="004E6D48" w:rsidRPr="002665F6" w:rsidRDefault="00AF29CD" w:rsidP="002665F6">
      <w:pPr>
        <w:pStyle w:val="Bezmezer"/>
        <w:spacing w:before="120" w:after="120"/>
        <w:rPr>
          <w:rFonts w:ascii="Palatino Linotype" w:hAnsi="Palatino Linotype" w:cs="Times New Roman"/>
        </w:rPr>
      </w:pPr>
      <w:r w:rsidRPr="002665F6">
        <w:rPr>
          <w:rFonts w:ascii="Palatino Linotype" w:hAnsi="Palatino Linotype" w:cs="Times New Roman"/>
        </w:rPr>
        <w:t xml:space="preserve">Miroslava </w:t>
      </w:r>
      <w:proofErr w:type="spellStart"/>
      <w:r w:rsidRPr="002665F6">
        <w:rPr>
          <w:rFonts w:ascii="Palatino Linotype" w:hAnsi="Palatino Linotype" w:cs="Times New Roman"/>
        </w:rPr>
        <w:t>Pobjecká</w:t>
      </w:r>
      <w:proofErr w:type="spellEnd"/>
      <w:r w:rsidRPr="002665F6">
        <w:rPr>
          <w:rFonts w:ascii="Palatino Linotype" w:hAnsi="Palatino Linotype" w:cs="Times New Roman"/>
        </w:rPr>
        <w:t xml:space="preserve">, email: </w:t>
      </w:r>
      <w:hyperlink r:id="rId6" w:history="1">
        <w:r w:rsidRPr="002665F6">
          <w:rPr>
            <w:rStyle w:val="Hypertextovodkaz"/>
            <w:rFonts w:ascii="Palatino Linotype" w:hAnsi="Palatino Linotype" w:cs="Times New Roman"/>
            <w:color w:val="auto"/>
          </w:rPr>
          <w:t>miroslava.pobjecka@praha1.cz</w:t>
        </w:r>
      </w:hyperlink>
    </w:p>
    <w:p w:rsidR="00AF29CD" w:rsidRPr="002665F6" w:rsidRDefault="00AF29CD" w:rsidP="002665F6">
      <w:pPr>
        <w:pStyle w:val="Bezmezer"/>
        <w:spacing w:before="120" w:after="120"/>
        <w:rPr>
          <w:rFonts w:ascii="Palatino Linotype" w:hAnsi="Palatino Linotype" w:cs="Times New Roman"/>
        </w:rPr>
      </w:pPr>
      <w:r w:rsidRPr="002665F6">
        <w:rPr>
          <w:rFonts w:ascii="Palatino Linotype" w:hAnsi="Palatino Linotype" w:cs="Times New Roman"/>
        </w:rPr>
        <w:t>Tel. 221 097 439</w:t>
      </w:r>
    </w:p>
    <w:p w:rsidR="00AF29CD" w:rsidRPr="002665F6" w:rsidRDefault="00AF29CD" w:rsidP="002665F6">
      <w:pPr>
        <w:pStyle w:val="Bezmezer"/>
        <w:spacing w:before="120" w:after="120"/>
        <w:rPr>
          <w:rFonts w:ascii="Palatino Linotype" w:hAnsi="Palatino Linotype" w:cs="Times New Roman"/>
        </w:rPr>
      </w:pPr>
      <w:r w:rsidRPr="002665F6">
        <w:rPr>
          <w:rFonts w:ascii="Palatino Linotype" w:hAnsi="Palatino Linotype" w:cs="Times New Roman"/>
        </w:rPr>
        <w:t>Kancelář č. 514, 5. patro</w:t>
      </w:r>
    </w:p>
    <w:p w:rsidR="004E6D48" w:rsidRPr="002665F6" w:rsidRDefault="004E6D48" w:rsidP="002665F6">
      <w:pPr>
        <w:pStyle w:val="Bezmezer"/>
        <w:spacing w:before="120" w:after="120"/>
        <w:rPr>
          <w:rFonts w:ascii="Palatino Linotype" w:hAnsi="Palatino Linotype" w:cs="Times New Roman"/>
        </w:rPr>
      </w:pPr>
      <w:r w:rsidRPr="002665F6">
        <w:rPr>
          <w:rFonts w:ascii="Palatino Linotype" w:hAnsi="Palatino Linotype" w:cs="Times New Roman"/>
        </w:rPr>
        <w:t>Městská část Praha 1, Úřad městské části Praha 1, Odbor finanční, oddělení místních příjmů, Vodičkova 681/18, 115 68 Praha 1</w:t>
      </w:r>
      <w:r w:rsidR="002434F4" w:rsidRPr="002665F6">
        <w:rPr>
          <w:rFonts w:ascii="Palatino Linotype" w:hAnsi="Palatino Linotype" w:cs="Times New Roman"/>
        </w:rPr>
        <w:t>.</w:t>
      </w:r>
      <w:r w:rsidRPr="002665F6">
        <w:rPr>
          <w:rFonts w:ascii="Palatino Linotype" w:hAnsi="Palatino Linotype" w:cs="Times New Roman"/>
        </w:rPr>
        <w:t xml:space="preserve"> </w:t>
      </w:r>
    </w:p>
    <w:p w:rsidR="004E6D48" w:rsidRPr="002665F6" w:rsidRDefault="004E6D48" w:rsidP="002665F6">
      <w:pPr>
        <w:spacing w:before="120" w:after="120" w:line="240" w:lineRule="auto"/>
        <w:rPr>
          <w:rFonts w:ascii="Palatino Linotype" w:hAnsi="Palatino Linotype" w:cs="Times New Roman"/>
          <w:sz w:val="24"/>
          <w:szCs w:val="24"/>
        </w:rPr>
      </w:pPr>
    </w:p>
    <w:p w:rsidR="006E4116" w:rsidRPr="00007207" w:rsidRDefault="006E4116" w:rsidP="00645EB3">
      <w:pPr>
        <w:pStyle w:val="Nadpis4"/>
        <w:spacing w:before="120" w:after="120" w:line="360" w:lineRule="auto"/>
        <w:rPr>
          <w:rFonts w:ascii="Palatino Linotype" w:hAnsi="Palatino Linotype" w:cs="Times New Roman"/>
          <w:b/>
          <w:bCs/>
          <w:i w:val="0"/>
          <w:color w:val="2F5496" w:themeColor="accent5" w:themeShade="BF"/>
          <w:sz w:val="24"/>
          <w:szCs w:val="24"/>
        </w:rPr>
      </w:pPr>
      <w:r w:rsidRPr="00007207">
        <w:rPr>
          <w:rFonts w:ascii="Palatino Linotype" w:hAnsi="Palatino Linotype" w:cs="Times New Roman"/>
          <w:b/>
          <w:bCs/>
          <w:i w:val="0"/>
          <w:color w:val="2F5496" w:themeColor="accent5" w:themeShade="BF"/>
          <w:sz w:val="24"/>
          <w:szCs w:val="24"/>
        </w:rPr>
        <w:t>Jaké jsou potřebné formuláře a kde jsou k dispozici:</w:t>
      </w:r>
    </w:p>
    <w:p w:rsidR="001F1E83" w:rsidRPr="0070087A" w:rsidRDefault="001F1E83" w:rsidP="00645EB3">
      <w:pPr>
        <w:pStyle w:val="Bezmezer"/>
        <w:spacing w:before="120" w:after="120" w:line="360" w:lineRule="auto"/>
        <w:rPr>
          <w:rFonts w:ascii="Palatino Linotype" w:hAnsi="Palatino Linotype" w:cs="Times New Roman"/>
          <w:color w:val="000000" w:themeColor="text1"/>
        </w:rPr>
      </w:pPr>
      <w:r w:rsidRPr="00007207">
        <w:rPr>
          <w:rFonts w:ascii="Palatino Linotype" w:hAnsi="Palatino Linotype" w:cs="Times New Roman"/>
          <w:color w:val="000000" w:themeColor="text1"/>
        </w:rPr>
        <w:t>Ohlášení hazardní hry – na stránkách MČ Praha 1, v sekci potřebuji vyřídit</w:t>
      </w:r>
      <w:r w:rsidR="004E6D48" w:rsidRPr="00007207">
        <w:rPr>
          <w:rFonts w:ascii="Palatino Linotype" w:hAnsi="Palatino Linotype" w:cs="Times New Roman"/>
          <w:color w:val="000000" w:themeColor="text1"/>
        </w:rPr>
        <w:t>, odbory, odbor finanční</w:t>
      </w:r>
      <w:r w:rsidR="0070087A">
        <w:rPr>
          <w:rFonts w:ascii="Palatino Linotype" w:hAnsi="Palatino Linotype" w:cs="Times New Roman"/>
          <w:color w:val="000000" w:themeColor="text1"/>
        </w:rPr>
        <w:t xml:space="preserve"> </w:t>
      </w:r>
      <w:r w:rsidR="002368E2">
        <w:rPr>
          <w:rFonts w:ascii="Palatino Linotype" w:hAnsi="Palatino Linotype" w:cs="Times New Roman"/>
          <w:color w:val="000000" w:themeColor="text1"/>
        </w:rPr>
        <w:t xml:space="preserve">a </w:t>
      </w:r>
      <w:bookmarkStart w:id="0" w:name="_GoBack"/>
      <w:bookmarkEnd w:id="0"/>
      <w:r w:rsidRPr="00007207">
        <w:rPr>
          <w:rFonts w:ascii="Palatino Linotype" w:hAnsi="Palatino Linotype" w:cs="Times New Roman"/>
          <w:color w:val="000000" w:themeColor="text1"/>
        </w:rPr>
        <w:t xml:space="preserve">na stránkách Ministerstva financí ČR </w:t>
      </w:r>
    </w:p>
    <w:p w:rsidR="006E4116" w:rsidRPr="00007207" w:rsidRDefault="006E4116" w:rsidP="00645EB3">
      <w:pPr>
        <w:pStyle w:val="Nadpis4"/>
        <w:spacing w:before="120" w:after="120" w:line="360" w:lineRule="auto"/>
        <w:rPr>
          <w:rFonts w:ascii="Palatino Linotype" w:hAnsi="Palatino Linotype" w:cs="Times New Roman"/>
          <w:i w:val="0"/>
          <w:color w:val="2F5496" w:themeColor="accent5" w:themeShade="BF"/>
          <w:sz w:val="24"/>
          <w:szCs w:val="24"/>
        </w:rPr>
      </w:pPr>
      <w:r w:rsidRPr="00007207">
        <w:rPr>
          <w:rFonts w:ascii="Palatino Linotype" w:hAnsi="Palatino Linotype" w:cs="Times New Roman"/>
          <w:b/>
          <w:bCs/>
          <w:i w:val="0"/>
          <w:color w:val="2F5496" w:themeColor="accent5" w:themeShade="BF"/>
          <w:sz w:val="24"/>
          <w:szCs w:val="24"/>
        </w:rPr>
        <w:t>Jaké jsou poplatky a jak je lze uhradit:</w:t>
      </w:r>
    </w:p>
    <w:p w:rsidR="006E4116" w:rsidRPr="00007207" w:rsidRDefault="001F1E83" w:rsidP="00645EB3">
      <w:pPr>
        <w:spacing w:before="120" w:after="120" w:line="360" w:lineRule="auto"/>
        <w:rPr>
          <w:rFonts w:ascii="Palatino Linotype" w:hAnsi="Palatino Linotype" w:cs="Times New Roman"/>
          <w:color w:val="404040"/>
          <w:sz w:val="18"/>
          <w:szCs w:val="18"/>
        </w:rPr>
      </w:pPr>
      <w:r w:rsidRPr="00007207">
        <w:rPr>
          <w:rFonts w:ascii="Palatino Linotype" w:hAnsi="Palatino Linotype" w:cs="Times New Roman"/>
          <w:color w:val="404040"/>
          <w:sz w:val="18"/>
          <w:szCs w:val="18"/>
        </w:rPr>
        <w:t>Ohlášení nepodléhá poplatku.</w:t>
      </w:r>
    </w:p>
    <w:p w:rsidR="006E4116" w:rsidRPr="00007207" w:rsidRDefault="006E4116" w:rsidP="00645EB3">
      <w:pPr>
        <w:pStyle w:val="Nadpis4"/>
        <w:spacing w:before="120" w:after="120" w:line="360" w:lineRule="auto"/>
        <w:rPr>
          <w:rFonts w:ascii="Palatino Linotype" w:hAnsi="Palatino Linotype" w:cs="Times New Roman"/>
          <w:i w:val="0"/>
          <w:color w:val="2F5496" w:themeColor="accent5" w:themeShade="BF"/>
          <w:sz w:val="24"/>
          <w:szCs w:val="24"/>
        </w:rPr>
      </w:pPr>
      <w:r w:rsidRPr="00007207">
        <w:rPr>
          <w:rFonts w:ascii="Palatino Linotype" w:hAnsi="Palatino Linotype" w:cs="Times New Roman"/>
          <w:b/>
          <w:bCs/>
          <w:i w:val="0"/>
          <w:color w:val="2F5496" w:themeColor="accent5" w:themeShade="BF"/>
          <w:sz w:val="24"/>
          <w:szCs w:val="24"/>
        </w:rPr>
        <w:t>Jaké jsou lhůty pro vyřízení:</w:t>
      </w:r>
    </w:p>
    <w:p w:rsidR="006E4116" w:rsidRPr="00007207" w:rsidRDefault="006E4116" w:rsidP="00645EB3">
      <w:pPr>
        <w:spacing w:before="120" w:after="120" w:line="360" w:lineRule="auto"/>
        <w:rPr>
          <w:rFonts w:ascii="Palatino Linotype" w:hAnsi="Palatino Linotype" w:cs="Times New Roman"/>
          <w:color w:val="404040"/>
          <w:sz w:val="18"/>
          <w:szCs w:val="18"/>
        </w:rPr>
      </w:pPr>
      <w:r w:rsidRPr="00007207">
        <w:rPr>
          <w:rFonts w:ascii="Palatino Linotype" w:hAnsi="Palatino Linotype" w:cs="Times New Roman"/>
          <w:color w:val="404040"/>
          <w:sz w:val="18"/>
          <w:szCs w:val="18"/>
        </w:rPr>
        <w:t>Bezodkladně, nejméně 30 dnů před zahájením.</w:t>
      </w:r>
    </w:p>
    <w:p w:rsidR="006E4116" w:rsidRPr="00007207" w:rsidRDefault="006E4116" w:rsidP="00645EB3">
      <w:pPr>
        <w:pStyle w:val="Nadpis4"/>
        <w:spacing w:before="120" w:after="120" w:line="360" w:lineRule="auto"/>
        <w:rPr>
          <w:rFonts w:ascii="Palatino Linotype" w:hAnsi="Palatino Linotype" w:cs="Times New Roman"/>
          <w:i w:val="0"/>
          <w:color w:val="2F5496" w:themeColor="accent5" w:themeShade="BF"/>
          <w:sz w:val="24"/>
          <w:szCs w:val="24"/>
        </w:rPr>
      </w:pPr>
      <w:r w:rsidRPr="00007207">
        <w:rPr>
          <w:rFonts w:ascii="Palatino Linotype" w:hAnsi="Palatino Linotype" w:cs="Times New Roman"/>
          <w:b/>
          <w:bCs/>
          <w:i w:val="0"/>
          <w:color w:val="2F5496" w:themeColor="accent5" w:themeShade="BF"/>
          <w:sz w:val="24"/>
          <w:szCs w:val="24"/>
        </w:rPr>
        <w:t>Podle kterého právního předpisu se postupuje:</w:t>
      </w:r>
    </w:p>
    <w:p w:rsidR="006E4116" w:rsidRPr="00007207" w:rsidRDefault="006E4116" w:rsidP="00645EB3">
      <w:pPr>
        <w:spacing w:before="120" w:after="120" w:line="360" w:lineRule="auto"/>
        <w:rPr>
          <w:rFonts w:ascii="Palatino Linotype" w:hAnsi="Palatino Linotype" w:cs="Times New Roman"/>
          <w:color w:val="404040"/>
          <w:sz w:val="18"/>
          <w:szCs w:val="18"/>
        </w:rPr>
      </w:pPr>
      <w:r w:rsidRPr="00007207">
        <w:rPr>
          <w:rFonts w:ascii="Palatino Linotype" w:hAnsi="Palatino Linotype" w:cs="Times New Roman"/>
          <w:color w:val="404040"/>
          <w:sz w:val="18"/>
          <w:szCs w:val="18"/>
        </w:rPr>
        <w:t>Zákon o hazardních hrách č. 186/2016 Sb.</w:t>
      </w:r>
    </w:p>
    <w:p w:rsidR="006E4116" w:rsidRPr="00007207" w:rsidRDefault="006E4116" w:rsidP="00645EB3">
      <w:pPr>
        <w:pStyle w:val="Nadpis4"/>
        <w:spacing w:before="120" w:after="120" w:line="360" w:lineRule="auto"/>
        <w:rPr>
          <w:rFonts w:ascii="Palatino Linotype" w:hAnsi="Palatino Linotype" w:cs="Times New Roman"/>
          <w:i w:val="0"/>
          <w:color w:val="2F5496" w:themeColor="accent5" w:themeShade="BF"/>
          <w:sz w:val="24"/>
          <w:szCs w:val="24"/>
        </w:rPr>
      </w:pPr>
      <w:r w:rsidRPr="00007207">
        <w:rPr>
          <w:rFonts w:ascii="Palatino Linotype" w:hAnsi="Palatino Linotype" w:cs="Times New Roman"/>
          <w:b/>
          <w:bCs/>
          <w:i w:val="0"/>
          <w:color w:val="2F5496" w:themeColor="accent5" w:themeShade="BF"/>
          <w:sz w:val="24"/>
          <w:szCs w:val="24"/>
        </w:rPr>
        <w:t>Jaké jsou související předpisy:</w:t>
      </w:r>
    </w:p>
    <w:p w:rsidR="006E4116" w:rsidRPr="00007207" w:rsidRDefault="006E4116" w:rsidP="00645EB3">
      <w:pPr>
        <w:spacing w:before="120" w:after="120" w:line="360" w:lineRule="auto"/>
        <w:rPr>
          <w:rFonts w:ascii="Palatino Linotype" w:hAnsi="Palatino Linotype" w:cs="Times New Roman"/>
          <w:color w:val="404040"/>
          <w:sz w:val="18"/>
          <w:szCs w:val="18"/>
        </w:rPr>
      </w:pPr>
      <w:r w:rsidRPr="00007207">
        <w:rPr>
          <w:rFonts w:ascii="Palatino Linotype" w:hAnsi="Palatino Linotype" w:cs="Times New Roman"/>
          <w:color w:val="404040"/>
          <w:sz w:val="18"/>
          <w:szCs w:val="18"/>
        </w:rPr>
        <w:t>Správní řád č. 500/2004 Sb.</w:t>
      </w:r>
    </w:p>
    <w:p w:rsidR="00BD6D0B" w:rsidRPr="00007207" w:rsidRDefault="00BD6D0B" w:rsidP="00645EB3">
      <w:pPr>
        <w:spacing w:before="120" w:after="120" w:line="360" w:lineRule="auto"/>
        <w:rPr>
          <w:rFonts w:ascii="Palatino Linotype" w:hAnsi="Palatino Linotype" w:cs="Times New Roman"/>
        </w:rPr>
      </w:pPr>
    </w:p>
    <w:sectPr w:rsidR="00BD6D0B" w:rsidRPr="00007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73494"/>
    <w:multiLevelType w:val="multilevel"/>
    <w:tmpl w:val="7DCC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3113E6"/>
    <w:multiLevelType w:val="multilevel"/>
    <w:tmpl w:val="42B2F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16"/>
    <w:rsid w:val="00007207"/>
    <w:rsid w:val="000F44C0"/>
    <w:rsid w:val="001F1E83"/>
    <w:rsid w:val="002368E2"/>
    <w:rsid w:val="002434F4"/>
    <w:rsid w:val="00264186"/>
    <w:rsid w:val="002665F6"/>
    <w:rsid w:val="004E6D48"/>
    <w:rsid w:val="00645EB3"/>
    <w:rsid w:val="006906E7"/>
    <w:rsid w:val="006E4116"/>
    <w:rsid w:val="0070087A"/>
    <w:rsid w:val="007E2FBB"/>
    <w:rsid w:val="00964134"/>
    <w:rsid w:val="009D0D89"/>
    <w:rsid w:val="00A23EEB"/>
    <w:rsid w:val="00A33AEC"/>
    <w:rsid w:val="00AC794F"/>
    <w:rsid w:val="00AF29CD"/>
    <w:rsid w:val="00B36CF3"/>
    <w:rsid w:val="00BD6D0B"/>
    <w:rsid w:val="00C21920"/>
    <w:rsid w:val="00CD3A1F"/>
    <w:rsid w:val="00D17E81"/>
    <w:rsid w:val="00DA6883"/>
    <w:rsid w:val="00F6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D6E3"/>
  <w15:chartTrackingRefBased/>
  <w15:docId w15:val="{6E4738F0-CBF8-43FC-87AD-997F8BE0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E41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E41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E411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E411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li">
    <w:name w:val="li"/>
    <w:basedOn w:val="Standardnpsmoodstavce"/>
    <w:rsid w:val="006E4116"/>
  </w:style>
  <w:style w:type="character" w:styleId="Siln">
    <w:name w:val="Strong"/>
    <w:basedOn w:val="Standardnpsmoodstavce"/>
    <w:uiPriority w:val="22"/>
    <w:qFormat/>
    <w:rsid w:val="006E411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E4116"/>
    <w:rPr>
      <w:color w:val="0000FF"/>
      <w:u w:val="single"/>
    </w:rPr>
  </w:style>
  <w:style w:type="paragraph" w:styleId="Bezmezer">
    <w:name w:val="No Spacing"/>
    <w:uiPriority w:val="1"/>
    <w:qFormat/>
    <w:rsid w:val="001F1E8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EB3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964134"/>
    <w:rPr>
      <w:color w:val="954F72" w:themeColor="followedHyperlink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F44C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708" w:right="864"/>
      <w:jc w:val="center"/>
    </w:pPr>
    <w:rPr>
      <w:i/>
      <w:iCs/>
      <w:color w:val="1F4E79" w:themeColor="accent1" w:themeShade="80"/>
      <w:sz w:val="3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F44C0"/>
    <w:rPr>
      <w:i/>
      <w:iCs/>
      <w:color w:val="1F4E79" w:themeColor="accent1" w:themeShade="80"/>
      <w:sz w:val="36"/>
    </w:rPr>
  </w:style>
  <w:style w:type="character" w:styleId="Nzevknihy">
    <w:name w:val="Book Title"/>
    <w:basedOn w:val="Standardnpsmoodstavce"/>
    <w:uiPriority w:val="33"/>
    <w:qFormat/>
    <w:rsid w:val="002665F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33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760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8352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slava.pobjecka@praha1.cz" TargetMode="External"/><Relationship Id="rId5" Type="http://schemas.openxmlformats.org/officeDocument/2006/relationships/hyperlink" Target="Formular%20ohlaseni%20hazardni%20hry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Pobjecka Miroslava</dc:creator>
  <cp:keywords/>
  <dc:description/>
  <cp:lastModifiedBy>Vojtíšková Pavlína</cp:lastModifiedBy>
  <cp:revision>5</cp:revision>
  <cp:lastPrinted>2023-01-11T12:01:00Z</cp:lastPrinted>
  <dcterms:created xsi:type="dcterms:W3CDTF">2023-01-11T14:17:00Z</dcterms:created>
  <dcterms:modified xsi:type="dcterms:W3CDTF">2023-01-18T08:38:00Z</dcterms:modified>
</cp:coreProperties>
</file>