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26" w:rsidRDefault="001B700E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51468" cy="1151468"/>
            <wp:effectExtent l="0" t="0" r="0" b="0"/>
            <wp:docPr id="1" name="image1.png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raha1_Znak-text_BLACK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3526" w:rsidRDefault="00733526">
      <w:pPr>
        <w:spacing w:line="276" w:lineRule="auto"/>
        <w:jc w:val="center"/>
        <w:rPr>
          <w:b/>
        </w:rPr>
      </w:pPr>
    </w:p>
    <w:p w:rsidR="00733526" w:rsidRDefault="00733526">
      <w:pPr>
        <w:spacing w:line="276" w:lineRule="auto"/>
        <w:jc w:val="center"/>
        <w:rPr>
          <w:b/>
        </w:rPr>
      </w:pPr>
    </w:p>
    <w:p w:rsidR="00EB7C8A" w:rsidRDefault="00EB7C8A">
      <w:pPr>
        <w:spacing w:line="276" w:lineRule="auto"/>
        <w:jc w:val="center"/>
        <w:rPr>
          <w:b/>
        </w:rPr>
      </w:pPr>
    </w:p>
    <w:p w:rsidR="00733526" w:rsidRDefault="001B700E">
      <w:pPr>
        <w:tabs>
          <w:tab w:val="right" w:pos="904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TISKOVÁ ZPRÁVA</w:t>
      </w:r>
      <w:r>
        <w:rPr>
          <w:b/>
          <w:sz w:val="28"/>
          <w:szCs w:val="28"/>
        </w:rPr>
        <w:tab/>
      </w:r>
      <w:r w:rsidR="00EB7C8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června 2021</w:t>
      </w:r>
    </w:p>
    <w:p w:rsidR="00733526" w:rsidRDefault="00733526">
      <w:pPr>
        <w:rPr>
          <w:b/>
          <w:sz w:val="28"/>
          <w:szCs w:val="28"/>
        </w:rPr>
      </w:pPr>
    </w:p>
    <w:p w:rsidR="00733526" w:rsidRDefault="001B7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Kontrolní měření výskytu azbestu: Škola v sousedství bývalého hotelu </w:t>
      </w:r>
      <w:proofErr w:type="spellStart"/>
      <w:r>
        <w:rPr>
          <w:b/>
          <w:sz w:val="28"/>
          <w:szCs w:val="28"/>
        </w:rPr>
        <w:t>InterContinental</w:t>
      </w:r>
      <w:proofErr w:type="spellEnd"/>
      <w:r>
        <w:rPr>
          <w:b/>
          <w:sz w:val="28"/>
          <w:szCs w:val="28"/>
        </w:rPr>
        <w:t xml:space="preserve"> je v naprostém pořádku</w:t>
      </w:r>
    </w:p>
    <w:p w:rsidR="00733526" w:rsidRDefault="00733526">
      <w:pPr>
        <w:rPr>
          <w:b/>
          <w:sz w:val="28"/>
          <w:szCs w:val="28"/>
        </w:rPr>
      </w:pPr>
    </w:p>
    <w:p w:rsidR="00733526" w:rsidRDefault="001B700E">
      <w:pPr>
        <w:rPr>
          <w:b/>
        </w:rPr>
      </w:pPr>
      <w:bookmarkStart w:id="0" w:name="_GoBack"/>
      <w:r>
        <w:rPr>
          <w:b/>
        </w:rPr>
        <w:t xml:space="preserve">Děti ze Základní školy náměstí Curieových a jejich rodiče se v žádném případě nemusejí obávat výskytu azbestových vláken. Potvrdily to výsledky podrobného kontrolního měření přední české odbornice Zoji </w:t>
      </w:r>
      <w:proofErr w:type="spellStart"/>
      <w:r>
        <w:rPr>
          <w:b/>
        </w:rPr>
        <w:t>Guschlové</w:t>
      </w:r>
      <w:proofErr w:type="spellEnd"/>
      <w:r>
        <w:rPr>
          <w:b/>
        </w:rPr>
        <w:t xml:space="preserve">. Byly tak vyvráceny nezodpovědné poplašné zprávy šířené spolkem Občané Prahy 1, který je propojený s rodinou majitele a šéfredaktora deníku Právo Zdeňkem Porybným a podle kterého je během rekonstrukce bývalého hotelu </w:t>
      </w:r>
      <w:proofErr w:type="spellStart"/>
      <w:r>
        <w:rPr>
          <w:b/>
        </w:rPr>
        <w:t>InterContinental</w:t>
      </w:r>
      <w:proofErr w:type="spellEnd"/>
      <w:r>
        <w:rPr>
          <w:b/>
        </w:rPr>
        <w:t xml:space="preserve"> do ovzduší uvolňován azbest.</w:t>
      </w:r>
    </w:p>
    <w:p w:rsidR="00733526" w:rsidRDefault="00733526">
      <w:pPr>
        <w:rPr>
          <w:b/>
        </w:rPr>
      </w:pPr>
    </w:p>
    <w:p w:rsidR="00733526" w:rsidRDefault="001B700E">
      <w:r>
        <w:rPr>
          <w:i/>
        </w:rPr>
        <w:t>„Škola zcela splňuje všechny parametry stanovené vyhláškou č. 6/2003, kterou se stanoví hygienické limity chemických, fyzikálních a biologických ukazatelů pro vnitřní prostředí pobytových místností některých staveb, a výsledek kontrolních měření nezaznamenal jakýkoliv výskyt azbestových vláken. Nepotvrdily se tak nezodpovědné výroky spolku, který si říká Občané Prahy 1 a který právě občany Prahy 1 a rodiče školáků bezdůvodně zneklidnil,“</w:t>
      </w:r>
      <w:r>
        <w:t xml:space="preserve"> uvedl starosta Prahy 1 Petr Hejma.  </w:t>
      </w:r>
    </w:p>
    <w:p w:rsidR="00733526" w:rsidRDefault="00733526"/>
    <w:p w:rsidR="00733526" w:rsidRDefault="001B700E">
      <w:r>
        <w:t xml:space="preserve">Starosta rovněž připomněl, že Zoju </w:t>
      </w:r>
      <w:proofErr w:type="spellStart"/>
      <w:r>
        <w:t>Guschlovou</w:t>
      </w:r>
      <w:proofErr w:type="spellEnd"/>
      <w:r>
        <w:t xml:space="preserve"> oslovili sami aktivisté a že nulové hodnoty koncentrace azbestových vláken ve vzduchu potvrdila už opakovaná měření certifikovanou laboratoří AQUATEST, provedená 28. dubna, 19. a 26. května 2021. Výsledky byly potvrzeny i Hygienickou stanicí hl. m. Prahy. </w:t>
      </w:r>
    </w:p>
    <w:p w:rsidR="00733526" w:rsidRDefault="00733526"/>
    <w:p w:rsidR="00733526" w:rsidRDefault="001B700E">
      <w:bookmarkStart w:id="1" w:name="_gjdgxs" w:colFirst="0" w:colLast="0"/>
      <w:bookmarkEnd w:id="1"/>
      <w:r>
        <w:t xml:space="preserve">Petr Hejma také zdůraznil, že rekonstrukce hotelu </w:t>
      </w:r>
      <w:proofErr w:type="spellStart"/>
      <w:r>
        <w:t>InterContinental</w:t>
      </w:r>
      <w:proofErr w:type="spellEnd"/>
      <w:r>
        <w:t xml:space="preserve"> je pod průběžnou kontrolou Prahy 1, jejího stavebního úřadu, Hygienické stanice hl. m. Prahy a dalších příslušných orgánů.  </w:t>
      </w:r>
    </w:p>
    <w:bookmarkEnd w:id="0"/>
    <w:p w:rsidR="00733526" w:rsidRDefault="00733526">
      <w:pPr>
        <w:jc w:val="both"/>
        <w:rPr>
          <w:b/>
          <w:sz w:val="28"/>
          <w:szCs w:val="28"/>
        </w:rPr>
      </w:pPr>
    </w:p>
    <w:p w:rsidR="00EB7C8A" w:rsidRPr="00EB7C8A" w:rsidRDefault="00EB7C8A">
      <w:pPr>
        <w:jc w:val="both"/>
        <w:rPr>
          <w:b/>
        </w:rPr>
      </w:pPr>
      <w:r w:rsidRPr="00EB7C8A">
        <w:rPr>
          <w:b/>
        </w:rPr>
        <w:t>Kontakt:</w:t>
      </w:r>
    </w:p>
    <w:p w:rsidR="00733526" w:rsidRDefault="001B700E">
      <w:pPr>
        <w:spacing w:line="276" w:lineRule="auto"/>
        <w:jc w:val="both"/>
      </w:pPr>
      <w:r>
        <w:t>Petr Bidlo, vedoucí oddělení vnějších vztahů MČ Praha 1</w:t>
      </w:r>
    </w:p>
    <w:p w:rsidR="00733526" w:rsidRDefault="00D723D0">
      <w:pPr>
        <w:spacing w:line="276" w:lineRule="auto"/>
        <w:jc w:val="both"/>
        <w:rPr>
          <w:color w:val="000000"/>
          <w:highlight w:val="white"/>
        </w:rPr>
      </w:pPr>
      <w:hyperlink r:id="rId7">
        <w:r w:rsidR="001B700E">
          <w:rPr>
            <w:u w:val="single"/>
          </w:rPr>
          <w:t>tiskove.oddeleni@praha1.cz</w:t>
        </w:r>
      </w:hyperlink>
      <w:r w:rsidR="001B700E">
        <w:t>, +420 775 11 88 77</w:t>
      </w:r>
    </w:p>
    <w:sectPr w:rsidR="0073352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D0" w:rsidRDefault="00D723D0">
      <w:r>
        <w:separator/>
      </w:r>
    </w:p>
  </w:endnote>
  <w:endnote w:type="continuationSeparator" w:id="0">
    <w:p w:rsidR="00D723D0" w:rsidRDefault="00D7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26" w:rsidRDefault="001B700E">
    <w:pPr>
      <w:spacing w:line="360" w:lineRule="auto"/>
      <w:jc w:val="center"/>
    </w:pPr>
    <w:r>
      <w:rPr>
        <w:color w:val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D0" w:rsidRDefault="00D723D0">
      <w:r>
        <w:separator/>
      </w:r>
    </w:p>
  </w:footnote>
  <w:footnote w:type="continuationSeparator" w:id="0">
    <w:p w:rsidR="00D723D0" w:rsidRDefault="00D7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26" w:rsidRDefault="0073352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26"/>
    <w:rsid w:val="001B700E"/>
    <w:rsid w:val="00733526"/>
    <w:rsid w:val="00D723D0"/>
    <w:rsid w:val="00EB7C8A"/>
    <w:rsid w:val="00F3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AFA35-7F99-48E2-9ABD-081346C5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Pekařová Petra</dc:creator>
  <cp:lastModifiedBy>Korábová Alžběta</cp:lastModifiedBy>
  <cp:revision>2</cp:revision>
  <dcterms:created xsi:type="dcterms:W3CDTF">2021-07-23T08:23:00Z</dcterms:created>
  <dcterms:modified xsi:type="dcterms:W3CDTF">2021-07-23T08:23:00Z</dcterms:modified>
</cp:coreProperties>
</file>