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4A0FBF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+</w:t>
      </w:r>
      <w:r w:rsidR="000C14F1"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4F5C5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3/2020 ze dne </w:t>
      </w:r>
      <w:proofErr w:type="gramStart"/>
      <w:r w:rsidR="004F5C5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27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5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  <w:proofErr w:type="gramEnd"/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proofErr w:type="gramStart"/>
      <w:r w:rsidR="00DE50BC">
        <w:rPr>
          <w:rFonts w:eastAsia="Times-Bold" w:cs="Times New Roman"/>
          <w:bCs/>
          <w:sz w:val="22"/>
          <w:szCs w:val="22"/>
        </w:rPr>
        <w:t>27</w:t>
      </w:r>
      <w:r w:rsidR="00AF5B2C">
        <w:rPr>
          <w:rFonts w:eastAsia="Times-Bold" w:cs="Times New Roman"/>
          <w:bCs/>
          <w:sz w:val="22"/>
          <w:szCs w:val="22"/>
        </w:rPr>
        <w:t>.5.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proofErr w:type="gramEnd"/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DE50BC">
        <w:rPr>
          <w:rFonts w:eastAsia="Times-Bold" w:cs="Times New Roman"/>
          <w:bCs/>
          <w:sz w:val="22"/>
          <w:szCs w:val="22"/>
        </w:rPr>
        <w:t> 16.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DE50BC">
        <w:rPr>
          <w:rFonts w:eastAsia="Times-Bold" w:cs="Times New Roman"/>
          <w:bCs/>
          <w:sz w:val="22"/>
          <w:szCs w:val="22"/>
        </w:rPr>
        <w:t>0</w:t>
      </w:r>
      <w:r w:rsidR="007A7868" w:rsidRPr="00A47095">
        <w:rPr>
          <w:rFonts w:eastAsia="Times-Bold" w:cs="Times New Roman"/>
          <w:bCs/>
          <w:sz w:val="22"/>
          <w:szCs w:val="22"/>
        </w:rPr>
        <w:t xml:space="preserve"> hod</w:t>
      </w:r>
      <w:r w:rsidR="00DE50BC">
        <w:rPr>
          <w:rFonts w:eastAsia="Times-Bold" w:cs="Times New Roman"/>
          <w:bCs/>
          <w:sz w:val="22"/>
          <w:szCs w:val="22"/>
        </w:rPr>
        <w:t>., místnost č. 212,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1580B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T. </w:t>
      </w:r>
      <w:proofErr w:type="spellStart"/>
      <w:r w:rsidR="00B9300A" w:rsidRPr="00A47095">
        <w:rPr>
          <w:rFonts w:eastAsia="Times-Bold" w:cs="Times New Roman"/>
          <w:bCs/>
          <w:sz w:val="22"/>
          <w:szCs w:val="22"/>
        </w:rPr>
        <w:t>Pacner</w:t>
      </w:r>
      <w:proofErr w:type="spellEnd"/>
      <w:r w:rsidR="00B9300A" w:rsidRPr="00A47095">
        <w:rPr>
          <w:rFonts w:eastAsia="Times-Bold" w:cs="Times New Roman"/>
          <w:bCs/>
          <w:sz w:val="22"/>
          <w:szCs w:val="22"/>
        </w:rPr>
        <w:t xml:space="preserve"> (člen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 xml:space="preserve">D. </w:t>
      </w:r>
      <w:proofErr w:type="spellStart"/>
      <w:r w:rsidRPr="00A47095">
        <w:rPr>
          <w:rFonts w:eastAsia="Times-Bold" w:cs="Times New Roman"/>
          <w:bCs/>
          <w:sz w:val="22"/>
          <w:szCs w:val="22"/>
        </w:rPr>
        <w:t>Bodeček</w:t>
      </w:r>
      <w:proofErr w:type="spellEnd"/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 xml:space="preserve">F. </w:t>
      </w:r>
      <w:proofErr w:type="spellStart"/>
      <w:r w:rsidR="00841765" w:rsidRPr="00A47095">
        <w:rPr>
          <w:rFonts w:eastAsia="Times-Bold" w:cs="Times New Roman"/>
          <w:bCs/>
          <w:sz w:val="22"/>
          <w:szCs w:val="22"/>
        </w:rPr>
        <w:t>Kračman</w:t>
      </w:r>
      <w:proofErr w:type="spellEnd"/>
      <w:r w:rsidR="0084176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DE50BC">
        <w:rPr>
          <w:rFonts w:eastAsia="Times-Bold" w:cs="Times New Roman"/>
          <w:bCs/>
          <w:sz w:val="22"/>
          <w:szCs w:val="22"/>
        </w:rPr>
        <w:t xml:space="preserve">T. </w:t>
      </w:r>
      <w:proofErr w:type="spellStart"/>
      <w:r w:rsidR="00DE50BC">
        <w:rPr>
          <w:rFonts w:eastAsia="Times-Bold" w:cs="Times New Roman"/>
          <w:bCs/>
          <w:sz w:val="22"/>
          <w:szCs w:val="22"/>
        </w:rPr>
        <w:t>Heres</w:t>
      </w:r>
      <w:proofErr w:type="spellEnd"/>
      <w:r w:rsidR="00DE50BC">
        <w:rPr>
          <w:rFonts w:eastAsia="Times-Bold" w:cs="Times New Roman"/>
          <w:bCs/>
          <w:sz w:val="22"/>
          <w:szCs w:val="22"/>
        </w:rPr>
        <w:t xml:space="preserve">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 xml:space="preserve">J. </w:t>
      </w:r>
      <w:proofErr w:type="spellStart"/>
      <w:r w:rsidR="008E223D" w:rsidRPr="00A47095">
        <w:rPr>
          <w:rFonts w:eastAsia="Times-Bold" w:cs="Times New Roman"/>
          <w:bCs/>
          <w:sz w:val="22"/>
          <w:szCs w:val="22"/>
        </w:rPr>
        <w:t>Počarovský</w:t>
      </w:r>
      <w:proofErr w:type="spellEnd"/>
      <w:r w:rsidR="008E223D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8E223D">
        <w:rPr>
          <w:rFonts w:eastAsia="Times-Bold" w:cs="Times New Roman"/>
          <w:bCs/>
          <w:sz w:val="22"/>
          <w:szCs w:val="22"/>
        </w:rPr>
        <w:t xml:space="preserve">, </w:t>
      </w:r>
      <w:r w:rsidR="008E223D" w:rsidRPr="00A47095">
        <w:rPr>
          <w:rFonts w:eastAsia="Times-Bold" w:cs="Times New Roman"/>
          <w:bCs/>
          <w:sz w:val="22"/>
          <w:szCs w:val="22"/>
        </w:rPr>
        <w:t>L. Klimt (člen komise)</w:t>
      </w:r>
    </w:p>
    <w:p w:rsidR="008E223D" w:rsidRPr="00A47095" w:rsidRDefault="008E223D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DE50BC" w:rsidRPr="00A47095">
        <w:rPr>
          <w:rFonts w:eastAsia="Times-Bold" w:cs="Times New Roman"/>
          <w:bCs/>
          <w:sz w:val="22"/>
          <w:szCs w:val="22"/>
        </w:rPr>
        <w:t>M. Kučera (člen komise)</w:t>
      </w:r>
      <w:r w:rsidR="00DE50BC">
        <w:rPr>
          <w:rFonts w:eastAsia="Times-Bold" w:cs="Times New Roman"/>
          <w:bCs/>
          <w:sz w:val="22"/>
          <w:szCs w:val="22"/>
        </w:rPr>
        <w:t xml:space="preserve">, </w:t>
      </w:r>
      <w:r w:rsidR="00DE50BC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DE50BC" w:rsidRDefault="00FB0951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8E223D" w:rsidRPr="008E223D">
        <w:rPr>
          <w:rFonts w:eastAsia="Times-Bold" w:cs="Times New Roman"/>
          <w:sz w:val="22"/>
          <w:szCs w:val="22"/>
        </w:rPr>
        <w:t xml:space="preserve">J. </w:t>
      </w:r>
      <w:proofErr w:type="spellStart"/>
      <w:r w:rsidR="008E223D" w:rsidRPr="008E223D">
        <w:rPr>
          <w:rFonts w:eastAsia="Times-Bold" w:cs="Times New Roman"/>
          <w:sz w:val="22"/>
          <w:szCs w:val="22"/>
        </w:rPr>
        <w:t>Počarovský</w:t>
      </w:r>
      <w:proofErr w:type="spellEnd"/>
      <w:r w:rsidR="008E223D" w:rsidRPr="008E223D">
        <w:rPr>
          <w:rFonts w:eastAsia="Times-Bold" w:cs="Times New Roman"/>
          <w:sz w:val="22"/>
          <w:szCs w:val="22"/>
        </w:rPr>
        <w:t xml:space="preserve"> (příchod v 17.10 hod), L. Klimt (odchod v 17.45 hod)</w:t>
      </w:r>
    </w:p>
    <w:p w:rsidR="00DE50BC" w:rsidRDefault="00DE50B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 ÚMČ Praha 1</w:t>
      </w:r>
      <w:r w:rsidR="004A0FBF">
        <w:rPr>
          <w:rFonts w:eastAsia="Times-Bold" w:cs="Times New Roman"/>
          <w:b/>
          <w:bCs/>
          <w:sz w:val="22"/>
          <w:szCs w:val="22"/>
        </w:rPr>
        <w:t xml:space="preserve">: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4A0FBF" w:rsidRPr="004A0FBF">
        <w:rPr>
          <w:rFonts w:eastAsia="Times-Bold" w:cs="Times New Roman"/>
          <w:bCs/>
          <w:sz w:val="22"/>
          <w:szCs w:val="22"/>
        </w:rPr>
        <w:t>J. Perlíková Drdová (vedoucí OBN/OTMS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DE50BC" w:rsidRPr="0032033C">
        <w:rPr>
          <w:rFonts w:eastAsia="Times-Bold" w:cs="Times New Roman"/>
          <w:bCs/>
          <w:sz w:val="22"/>
          <w:szCs w:val="22"/>
          <w:highlight w:val="black"/>
        </w:rPr>
        <w:t>M. Anton</w:t>
      </w:r>
      <w:r w:rsidR="00DE50BC">
        <w:rPr>
          <w:rFonts w:eastAsia="Times-Bold" w:cs="Times New Roman"/>
          <w:bCs/>
          <w:sz w:val="22"/>
          <w:szCs w:val="22"/>
        </w:rPr>
        <w:t xml:space="preserve"> – jednatelka Zázraky s.r.o.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DE50BC" w:rsidRPr="00A47095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DE50BC" w:rsidRPr="00AF5B2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DE50BC" w:rsidRPr="00025693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Schválení zápisu č. 2 ze dne </w:t>
      </w:r>
      <w:proofErr w:type="gramStart"/>
      <w:r>
        <w:rPr>
          <w:rFonts w:ascii="Times New Roman" w:hAnsi="Times New Roman" w:cs="Times New Roman"/>
          <w:color w:val="000000"/>
        </w:rPr>
        <w:t>20.5.2020</w:t>
      </w:r>
      <w:proofErr w:type="gramEnd"/>
    </w:p>
    <w:p w:rsidR="00DE50BC" w:rsidRPr="007E12F5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Vyhodnocení výběrového řízení na pronájem nebytových prostor </w:t>
      </w:r>
    </w:p>
    <w:p w:rsidR="00DE50B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D21A03">
        <w:rPr>
          <w:rFonts w:ascii="Times New Roman" w:hAnsi="Times New Roman" w:cs="Times New Roman"/>
          <w:highlight w:val="black"/>
        </w:rPr>
        <w:t>Č. Hrbáček</w:t>
      </w:r>
      <w:r>
        <w:rPr>
          <w:rFonts w:ascii="Times New Roman" w:hAnsi="Times New Roman" w:cs="Times New Roman"/>
        </w:rPr>
        <w:t>, Novomlýnská 3/1238 – narovnání vzájemných sporných či pochybných práv</w:t>
      </w:r>
    </w:p>
    <w:p w:rsidR="00DE50BC" w:rsidRPr="007E12F5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D21A03">
        <w:rPr>
          <w:rFonts w:ascii="Times New Roman" w:hAnsi="Times New Roman" w:cs="Times New Roman"/>
          <w:color w:val="000000"/>
          <w:highlight w:val="black"/>
        </w:rPr>
        <w:t xml:space="preserve">B. </w:t>
      </w:r>
      <w:proofErr w:type="spellStart"/>
      <w:r w:rsidRPr="00D21A03">
        <w:rPr>
          <w:rFonts w:ascii="Times New Roman" w:hAnsi="Times New Roman" w:cs="Times New Roman"/>
          <w:color w:val="000000"/>
          <w:highlight w:val="black"/>
        </w:rPr>
        <w:t>Eri</w:t>
      </w:r>
      <w:r w:rsidR="006666BC" w:rsidRPr="00D21A03">
        <w:rPr>
          <w:rFonts w:ascii="Times New Roman" w:hAnsi="Times New Roman" w:cs="Times New Roman"/>
          <w:color w:val="000000"/>
          <w:highlight w:val="black"/>
        </w:rPr>
        <w:t>ks</w:t>
      </w:r>
      <w:r w:rsidRPr="00D21A03">
        <w:rPr>
          <w:rFonts w:ascii="Times New Roman" w:hAnsi="Times New Roman" w:cs="Times New Roman"/>
          <w:color w:val="000000"/>
          <w:highlight w:val="black"/>
        </w:rPr>
        <w:t>sonová</w:t>
      </w:r>
      <w:proofErr w:type="spellEnd"/>
      <w:r>
        <w:rPr>
          <w:rFonts w:ascii="Times New Roman" w:hAnsi="Times New Roman" w:cs="Times New Roman"/>
          <w:color w:val="000000"/>
        </w:rPr>
        <w:t>, Klimentská 3/1552 – uzavření smlouvy o nájmu bytu na dobu neurčitou</w:t>
      </w:r>
    </w:p>
    <w:p w:rsidR="00DE50B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DE50BC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DE50BC" w:rsidRPr="00EA178D" w:rsidRDefault="00DE50BC" w:rsidP="00DE50BC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Školská 28/693 – návrh spoluvlastníků na rozdělení domu na jednotky prohlášením vlastníka</w:t>
      </w:r>
    </w:p>
    <w:p w:rsidR="00DE50BC" w:rsidRPr="00A47095" w:rsidRDefault="00DE50BC" w:rsidP="00DE50B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lastRenderedPageBreak/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6F3016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 xml:space="preserve"> 1</w:t>
      </w:r>
      <w:r w:rsidR="008E223D"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8E223D">
        <w:rPr>
          <w:rFonts w:eastAsia="Times-Bold" w:cs="Times New Roman"/>
          <w:bCs/>
          <w:sz w:val="22"/>
          <w:szCs w:val="22"/>
        </w:rPr>
        <w:t>8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 xml:space="preserve">1 člen předem nahlásil pozdější příchod. </w:t>
      </w:r>
      <w:r w:rsidR="008E223D">
        <w:rPr>
          <w:rFonts w:eastAsia="Times-Bold" w:cs="Times New Roman"/>
          <w:bCs/>
          <w:sz w:val="22"/>
          <w:szCs w:val="22"/>
        </w:rPr>
        <w:t>1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7C04C2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předem nahlásil dřívější odchod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8E223D">
        <w:rPr>
          <w:rFonts w:eastAsia="Times-Bold" w:cs="Times New Roman"/>
          <w:bCs/>
          <w:sz w:val="22"/>
          <w:szCs w:val="22"/>
        </w:rPr>
        <w:t xml:space="preserve">2 členové jsou předem omluveni. </w:t>
      </w:r>
      <w:r w:rsidR="00FA67BA">
        <w:rPr>
          <w:rFonts w:eastAsia="Times-Bold" w:cs="Times New Roman"/>
          <w:bCs/>
          <w:sz w:val="22"/>
          <w:szCs w:val="22"/>
        </w:rPr>
        <w:t xml:space="preserve">Jsou přítomni dva hosté, </w:t>
      </w:r>
      <w:r w:rsidR="008E223D">
        <w:rPr>
          <w:rFonts w:eastAsia="Times-Bold" w:cs="Times New Roman"/>
          <w:bCs/>
          <w:sz w:val="22"/>
          <w:szCs w:val="22"/>
        </w:rPr>
        <w:t>P. Vaněk (vedoucí OTMS) a J. Perlíková Drdová (vedoucí OBN/OTMS).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8E223D">
        <w:rPr>
          <w:rFonts w:eastAsia="Times-Bold" w:cs="Times New Roman"/>
          <w:bCs/>
          <w:sz w:val="22"/>
          <w:szCs w:val="22"/>
        </w:rPr>
        <w:t>T. Herese.</w:t>
      </w:r>
      <w:r w:rsidR="00DB150D">
        <w:rPr>
          <w:rFonts w:eastAsia="Times-Bold" w:cs="Times New Roman"/>
          <w:bCs/>
          <w:sz w:val="22"/>
          <w:szCs w:val="22"/>
        </w:rPr>
        <w:t xml:space="preserve"> </w:t>
      </w: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896A1A" w:rsidRPr="00650A5F">
        <w:rPr>
          <w:rFonts w:eastAsia="Times-Bold" w:cs="Times New Roman"/>
          <w:bCs/>
          <w:sz w:val="22"/>
          <w:szCs w:val="22"/>
        </w:rPr>
        <w:t xml:space="preserve">, </w:t>
      </w:r>
      <w:r w:rsidR="004A0FBF" w:rsidRPr="00650A5F">
        <w:rPr>
          <w:rFonts w:eastAsia="Times-Bold" w:cs="Times New Roman"/>
          <w:bCs/>
          <w:sz w:val="22"/>
          <w:szCs w:val="22"/>
        </w:rPr>
        <w:t>bod 4) a 5) se přesouvají na další jednání KOMA a do bodu Různé j</w:t>
      </w:r>
      <w:r w:rsidR="00070201">
        <w:rPr>
          <w:rFonts w:eastAsia="Times-Bold" w:cs="Times New Roman"/>
          <w:bCs/>
          <w:sz w:val="22"/>
          <w:szCs w:val="22"/>
        </w:rPr>
        <w:t>e zařazeno pět bodů.</w:t>
      </w:r>
    </w:p>
    <w:p w:rsidR="004A0FBF" w:rsidRPr="00650A5F" w:rsidRDefault="004A0FBF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>Zázraky s.r.o., Mikulandská 4/122 – žádost o pokračování snížení nájemného z důvodu rekonstrukce</w:t>
      </w: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 xml:space="preserve">Helena </w:t>
      </w:r>
      <w:proofErr w:type="spellStart"/>
      <w:r w:rsidRPr="00650A5F">
        <w:rPr>
          <w:rFonts w:ascii="Times New Roman" w:hAnsi="Times New Roman" w:cs="Times New Roman"/>
        </w:rPr>
        <w:t>Haubová</w:t>
      </w:r>
      <w:proofErr w:type="spellEnd"/>
      <w:r w:rsidRPr="00650A5F">
        <w:rPr>
          <w:rFonts w:ascii="Times New Roman" w:hAnsi="Times New Roman" w:cs="Times New Roman"/>
        </w:rPr>
        <w:t>, Mikulandská 3/133 – žádost o pokračování snížení nájemného z důvodu rekonstrukce</w:t>
      </w:r>
    </w:p>
    <w:p w:rsidR="004A0FBF" w:rsidRPr="00650A5F" w:rsidRDefault="004A0FBF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 xml:space="preserve">SVJ Loretánská 3/174 </w:t>
      </w:r>
      <w:r w:rsidR="002C7B51" w:rsidRPr="00650A5F">
        <w:rPr>
          <w:rFonts w:ascii="Times New Roman" w:hAnsi="Times New Roman" w:cs="Times New Roman"/>
        </w:rPr>
        <w:t>–</w:t>
      </w:r>
      <w:r w:rsidRPr="00650A5F">
        <w:rPr>
          <w:rFonts w:ascii="Times New Roman" w:hAnsi="Times New Roman" w:cs="Times New Roman"/>
        </w:rPr>
        <w:t xml:space="preserve"> </w:t>
      </w:r>
      <w:r w:rsidR="002C7B51" w:rsidRPr="00650A5F">
        <w:rPr>
          <w:rFonts w:ascii="Times New Roman" w:hAnsi="Times New Roman" w:cs="Times New Roman"/>
        </w:rPr>
        <w:t>výzva MHMP/OPP k odstranění reklamních zařízení na prostoru MČ P1</w:t>
      </w:r>
    </w:p>
    <w:p w:rsidR="002C7B51" w:rsidRDefault="002C7B51" w:rsidP="004A0FB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50A5F">
        <w:rPr>
          <w:rFonts w:ascii="Times New Roman" w:hAnsi="Times New Roman" w:cs="Times New Roman"/>
        </w:rPr>
        <w:t>SVJ Masarykovo nábřeží 38/2058 – žádost o změnu využívání nebytových prostor MČ P1</w:t>
      </w:r>
    </w:p>
    <w:p w:rsidR="004A0FBF" w:rsidRPr="001220F1" w:rsidRDefault="00070201" w:rsidP="00FF62CD">
      <w:pPr>
        <w:pStyle w:val="Odstavecseseznamem"/>
        <w:ind w:left="0"/>
        <w:jc w:val="both"/>
        <w:rPr>
          <w:rFonts w:eastAsia="Times-Bold" w:cs="Times New Roman"/>
          <w:bCs/>
        </w:rPr>
      </w:pPr>
      <w:r>
        <w:rPr>
          <w:rFonts w:ascii="Times New Roman" w:hAnsi="Times New Roman" w:cs="Times New Roman"/>
        </w:rPr>
        <w:t>FAUNA – LIKO, s.r.o., Na Perštýně 17/350 – nabídka na zvýšení nájemného a uzavření nové nájemní smlouvy</w:t>
      </w: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DE50BC">
        <w:rPr>
          <w:rFonts w:eastAsia="Times-Bold" w:cs="Times New Roman"/>
          <w:b/>
          <w:bCs/>
          <w:sz w:val="22"/>
          <w:szCs w:val="22"/>
        </w:rPr>
        <w:t>3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DE50B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8E223D">
        <w:rPr>
          <w:rFonts w:eastAsia="Times-Bold" w:cs="Times New Roman"/>
          <w:bCs/>
          <w:sz w:val="22"/>
          <w:szCs w:val="22"/>
        </w:rPr>
        <w:t>8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E50B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Schválení zápisu č. 2 ze dne </w:t>
      </w:r>
      <w:proofErr w:type="gramStart"/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20.5</w:t>
      </w:r>
      <w:r w:rsidR="00320866">
        <w:rPr>
          <w:rFonts w:ascii="Times New Roman" w:hAnsi="Times New Roman" w:cs="Times New Roman"/>
          <w:b/>
          <w:color w:val="2E74B5" w:themeColor="accent1" w:themeShade="BF"/>
          <w:szCs w:val="24"/>
        </w:rPr>
        <w:t>.2020</w:t>
      </w:r>
      <w:proofErr w:type="gramEnd"/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DE50B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2</w:t>
      </w:r>
      <w:r w:rsidR="00320866">
        <w:rPr>
          <w:rFonts w:eastAsia="Times-Bold" w:cs="Times New Roman"/>
          <w:bCs/>
          <w:sz w:val="22"/>
          <w:szCs w:val="22"/>
        </w:rPr>
        <w:t xml:space="preserve">. </w:t>
      </w: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DE50BC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Zápis č. 2 ze dne </w:t>
      </w:r>
      <w:proofErr w:type="gramStart"/>
      <w:r>
        <w:rPr>
          <w:rFonts w:eastAsia="Times-Bold" w:cs="Times New Roman"/>
          <w:b/>
          <w:bCs/>
          <w:sz w:val="22"/>
          <w:szCs w:val="22"/>
        </w:rPr>
        <w:t>20</w:t>
      </w:r>
      <w:r w:rsidR="00715B96">
        <w:rPr>
          <w:rFonts w:eastAsia="Times-Bold" w:cs="Times New Roman"/>
          <w:b/>
          <w:bCs/>
          <w:sz w:val="22"/>
          <w:szCs w:val="22"/>
        </w:rPr>
        <w:t>.</w:t>
      </w:r>
      <w:r>
        <w:rPr>
          <w:rFonts w:eastAsia="Times-Bold" w:cs="Times New Roman"/>
          <w:b/>
          <w:bCs/>
          <w:sz w:val="22"/>
          <w:szCs w:val="22"/>
        </w:rPr>
        <w:t>5</w:t>
      </w:r>
      <w:r w:rsidR="00715B96">
        <w:rPr>
          <w:rFonts w:eastAsia="Times-Bold" w:cs="Times New Roman"/>
          <w:b/>
          <w:bCs/>
          <w:sz w:val="22"/>
          <w:szCs w:val="22"/>
        </w:rPr>
        <w:t>.2020</w:t>
      </w:r>
      <w:proofErr w:type="gramEnd"/>
      <w:r w:rsidR="00715B96">
        <w:rPr>
          <w:rFonts w:eastAsia="Times-Bold" w:cs="Times New Roman"/>
          <w:b/>
          <w:bCs/>
          <w:sz w:val="22"/>
          <w:szCs w:val="22"/>
        </w:rPr>
        <w:t xml:space="preserve"> </w:t>
      </w:r>
      <w:r w:rsidR="00715B96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  <w:t xml:space="preserve">            </w:t>
      </w:r>
      <w:r w:rsidR="00715B96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E223D">
        <w:rPr>
          <w:rFonts w:eastAsia="Times-Bold" w:cs="Times New Roman"/>
          <w:bCs/>
          <w:sz w:val="22"/>
          <w:szCs w:val="22"/>
        </w:rPr>
        <w:t>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1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C3416" w:rsidRPr="007E12F5" w:rsidRDefault="003D77A2" w:rsidP="00DC3416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proofErr w:type="gramStart"/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96B30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DC3416" w:rsidRPr="00DC3416">
        <w:rPr>
          <w:rFonts w:ascii="Times New Roman" w:hAnsi="Times New Roman" w:cs="Times New Roman"/>
          <w:b/>
          <w:color w:val="0070C0"/>
        </w:rPr>
        <w:t>Vyhodnocení</w:t>
      </w:r>
      <w:proofErr w:type="gramEnd"/>
      <w:r w:rsidR="00DC3416" w:rsidRPr="00DC3416">
        <w:rPr>
          <w:rFonts w:ascii="Times New Roman" w:hAnsi="Times New Roman" w:cs="Times New Roman"/>
          <w:b/>
          <w:color w:val="0070C0"/>
        </w:rPr>
        <w:t xml:space="preserve"> výběrového řízení na pronájem nebytových prostor</w:t>
      </w:r>
      <w:r w:rsidR="00DC3416" w:rsidRPr="00DC3416">
        <w:rPr>
          <w:rFonts w:ascii="Times New Roman" w:hAnsi="Times New Roman" w:cs="Times New Roman"/>
          <w:color w:val="0070C0"/>
        </w:rPr>
        <w:t xml:space="preserve"> </w:t>
      </w:r>
    </w:p>
    <w:p w:rsidR="00D96B30" w:rsidRDefault="00D96B30" w:rsidP="00D96B30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DC3416" w:rsidRDefault="00DC3416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podaným nabídkám.</w:t>
      </w:r>
    </w:p>
    <w:p w:rsidR="00DC3416" w:rsidRDefault="00DC3416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Pr="00613A3F" w:rsidRDefault="00A618D7" w:rsidP="00A618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</w:t>
      </w:r>
      <w:r w:rsidR="00DC3416">
        <w:rPr>
          <w:rFonts w:eastAsia="Times-Bold" w:cs="Times New Roman"/>
          <w:b/>
          <w:bCs/>
          <w:sz w:val="22"/>
          <w:szCs w:val="22"/>
        </w:rPr>
        <w:t>postup do 2. kola výběrového řízení pro: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 </w:t>
      </w:r>
      <w:proofErr w:type="spellStart"/>
      <w:r w:rsidR="00DC3416">
        <w:rPr>
          <w:rFonts w:eastAsia="Times-Bold" w:cs="Times New Roman"/>
          <w:b/>
          <w:bCs/>
          <w:sz w:val="22"/>
          <w:szCs w:val="22"/>
        </w:rPr>
        <w:t>Alexmonhart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 s.r.o., Black </w:t>
      </w:r>
      <w:proofErr w:type="spellStart"/>
      <w:r w:rsidR="00DC3416">
        <w:rPr>
          <w:rFonts w:eastAsia="Times-Bold" w:cs="Times New Roman"/>
          <w:b/>
          <w:bCs/>
          <w:sz w:val="22"/>
          <w:szCs w:val="22"/>
        </w:rPr>
        <w:t>Mountain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 s.r.o., </w:t>
      </w:r>
      <w:proofErr w:type="spellStart"/>
      <w:r w:rsidR="00DC3416">
        <w:rPr>
          <w:rFonts w:eastAsia="Times-Bold" w:cs="Times New Roman"/>
          <w:b/>
          <w:bCs/>
          <w:sz w:val="22"/>
          <w:szCs w:val="22"/>
        </w:rPr>
        <w:t>Boi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 Controls s.r.o., </w:t>
      </w:r>
      <w:r w:rsidR="00DC3416"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Kateřina </w:t>
      </w:r>
      <w:proofErr w:type="spellStart"/>
      <w:r w:rsidR="00DC3416" w:rsidRPr="00D21A03">
        <w:rPr>
          <w:rFonts w:eastAsia="Times-Bold" w:cs="Times New Roman"/>
          <w:b/>
          <w:bCs/>
          <w:sz w:val="22"/>
          <w:szCs w:val="22"/>
          <w:highlight w:val="black"/>
        </w:rPr>
        <w:t>Moshövel</w:t>
      </w:r>
      <w:proofErr w:type="spellEnd"/>
      <w:r w:rsidR="00DC3416"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, </w:t>
      </w:r>
      <w:proofErr w:type="spellStart"/>
      <w:r w:rsidR="00DC3416" w:rsidRPr="00D21A03">
        <w:rPr>
          <w:rFonts w:eastAsia="Times-Bold" w:cs="Times New Roman"/>
          <w:b/>
          <w:bCs/>
          <w:sz w:val="22"/>
          <w:szCs w:val="22"/>
          <w:highlight w:val="black"/>
        </w:rPr>
        <w:t>DiS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., PRAGOMED s.r.o., Tesco </w:t>
      </w:r>
      <w:proofErr w:type="spellStart"/>
      <w:r w:rsidR="00DC3416">
        <w:rPr>
          <w:rFonts w:eastAsia="Times-Bold" w:cs="Times New Roman"/>
          <w:b/>
          <w:bCs/>
          <w:sz w:val="22"/>
          <w:szCs w:val="22"/>
        </w:rPr>
        <w:t>Franchise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 </w:t>
      </w:r>
      <w:proofErr w:type="spellStart"/>
      <w:r w:rsidR="00DC3416">
        <w:rPr>
          <w:rFonts w:eastAsia="Times-Bold" w:cs="Times New Roman"/>
          <w:b/>
          <w:bCs/>
          <w:sz w:val="22"/>
          <w:szCs w:val="22"/>
        </w:rPr>
        <w:t>Stores</w:t>
      </w:r>
      <w:proofErr w:type="spellEnd"/>
      <w:r w:rsidR="00DC3416">
        <w:rPr>
          <w:rFonts w:eastAsia="Times-Bold" w:cs="Times New Roman"/>
          <w:b/>
          <w:bCs/>
          <w:sz w:val="22"/>
          <w:szCs w:val="22"/>
        </w:rPr>
        <w:t xml:space="preserve"> ČR s.r.o.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, </w:t>
      </w:r>
      <w:proofErr w:type="spellStart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>Thi</w:t>
      </w:r>
      <w:proofErr w:type="spellEnd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 </w:t>
      </w:r>
      <w:proofErr w:type="spellStart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>Thu</w:t>
      </w:r>
      <w:proofErr w:type="spellEnd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 </w:t>
      </w:r>
      <w:proofErr w:type="spellStart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>Hien</w:t>
      </w:r>
      <w:proofErr w:type="spellEnd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 </w:t>
      </w:r>
      <w:proofErr w:type="spellStart"/>
      <w:r w:rsidR="008E223D" w:rsidRPr="00D21A03">
        <w:rPr>
          <w:rFonts w:eastAsia="Times-Bold" w:cs="Times New Roman"/>
          <w:b/>
          <w:bCs/>
          <w:sz w:val="22"/>
          <w:szCs w:val="22"/>
          <w:highlight w:val="black"/>
        </w:rPr>
        <w:t>Nguyen</w:t>
      </w:r>
      <w:proofErr w:type="spellEnd"/>
      <w:r w:rsidR="008E223D">
        <w:rPr>
          <w:rFonts w:eastAsia="Times-Bold" w:cs="Times New Roman"/>
          <w:b/>
          <w:bCs/>
          <w:sz w:val="22"/>
          <w:szCs w:val="22"/>
        </w:rPr>
        <w:t xml:space="preserve"> a </w:t>
      </w:r>
      <w:r w:rsidR="00DC3416">
        <w:rPr>
          <w:rFonts w:eastAsia="Times-Bold" w:cs="Times New Roman"/>
          <w:b/>
          <w:bCs/>
          <w:sz w:val="22"/>
          <w:szCs w:val="22"/>
        </w:rPr>
        <w:t>Z-Media s.r.o. (pro nebytovou jednotku č. 102, Jungmannova 17/3)</w:t>
      </w:r>
      <w:r w:rsidR="008E223D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           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</w:t>
      </w:r>
      <w:r w:rsidR="000B17E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 w:rsidR="008E223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0B17E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E223D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Pr="008E223D" w:rsidRDefault="008E223D" w:rsidP="008E223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8E223D">
        <w:rPr>
          <w:rFonts w:eastAsia="Times-Bold" w:cs="Times New Roman"/>
          <w:i/>
          <w:iCs/>
          <w:sz w:val="22"/>
          <w:szCs w:val="22"/>
        </w:rPr>
        <w:lastRenderedPageBreak/>
        <w:t>KOMA doporučuje Radě MČ P1 postup do 2. kola výběrového řízení pro: Marko Dobeš (pro nebytovou jednotku č. 102, Navrátilova 16/1334) – neschváleno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ab/>
        <w:t xml:space="preserve">                     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ab/>
        <w:t xml:space="preserve">                                                                   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  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Usnesení KOMA č. 4</w:t>
      </w:r>
      <w:r w:rsid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b</w:t>
      </w:r>
      <w:r w:rsidRPr="008E223D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/3/2020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8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Default="008E223D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>KOMA doporučuje Radě MČ P1 postup MIMO SOUTĚŽ do 2. kola výběrového řízení pro: ALFA TOURIST SERVICE s.r.o. (pro nebytovou jednotku č. 102, Ve Smečkách 2/585) – schváleno</w:t>
      </w: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4c/3/2020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2A1EE0">
        <w:rPr>
          <w:rFonts w:eastAsia="Times-Bold" w:cs="Times New Roman"/>
          <w:i/>
          <w:iCs/>
          <w:sz w:val="22"/>
          <w:szCs w:val="22"/>
        </w:rPr>
        <w:t xml:space="preserve">KOMA doporučuje Radě MČ P1 postup do 2. kola výběrového řízení pro: BONA o.p.s. (pro nebytovou jednotku č. 102, Ve Smečkách 2/585) – neschváleno                                             </w:t>
      </w:r>
    </w:p>
    <w:p w:rsidR="002A1EE0" w:rsidRPr="002A1EE0" w:rsidRDefault="002A1EE0" w:rsidP="002A1E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i/>
          <w:iCs/>
          <w:sz w:val="22"/>
          <w:szCs w:val="22"/>
        </w:rPr>
      </w:pPr>
      <w:r w:rsidRP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d</w:t>
      </w:r>
      <w:r w:rsidRPr="002A1EE0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/3/2020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A1EE0" w:rsidRDefault="002A1EE0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4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4</w:t>
      </w:r>
    </w:p>
    <w:p w:rsidR="007117D5" w:rsidRDefault="007117D5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D21A0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>GI4 s.r.o. na dobu určitou 10 let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(pro nebytovou jednotku č. 10</w:t>
      </w:r>
      <w:r>
        <w:rPr>
          <w:rFonts w:eastAsia="Times-Bold" w:cs="Times New Roman"/>
          <w:b/>
          <w:bCs/>
          <w:sz w:val="22"/>
          <w:szCs w:val="22"/>
        </w:rPr>
        <w:t>8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Růžová 7/970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)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2A1EE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 w:rsidRPr="00D21A03">
        <w:rPr>
          <w:rFonts w:eastAsia="Times-Bold" w:cs="Times New Roman"/>
          <w:b/>
          <w:bCs/>
          <w:sz w:val="22"/>
          <w:szCs w:val="22"/>
          <w:highlight w:val="black"/>
        </w:rPr>
        <w:t>Vojtěch Kába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(pro nebytovou jednotku č. 10</w:t>
      </w:r>
      <w:r>
        <w:rPr>
          <w:rFonts w:eastAsia="Times-Bold" w:cs="Times New Roman"/>
          <w:b/>
          <w:bCs/>
          <w:sz w:val="22"/>
          <w:szCs w:val="22"/>
        </w:rPr>
        <w:t>8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Růžová 7/970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)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f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7117D5" w:rsidRPr="002A1EE0" w:rsidRDefault="007117D5" w:rsidP="007117D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 xml:space="preserve">GI4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 w:rsidR="00BA52F0">
        <w:rPr>
          <w:rFonts w:eastAsia="Times-Bold" w:cs="Times New Roman"/>
          <w:b/>
          <w:bCs/>
          <w:sz w:val="22"/>
          <w:szCs w:val="22"/>
        </w:rPr>
        <w:t>927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 w:rsidR="00BA52F0">
        <w:rPr>
          <w:rFonts w:eastAsia="Times-Bold" w:cs="Times New Roman"/>
          <w:b/>
          <w:bCs/>
          <w:sz w:val="22"/>
          <w:szCs w:val="22"/>
        </w:rPr>
        <w:t>Klimentská 21/2061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)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4</w:t>
      </w:r>
      <w:r w:rsidR="00BA52F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g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proofErr w:type="spellStart"/>
      <w:r>
        <w:rPr>
          <w:rFonts w:eastAsia="Times-Bold" w:cs="Times New Roman"/>
          <w:b/>
          <w:bCs/>
          <w:sz w:val="22"/>
          <w:szCs w:val="22"/>
        </w:rPr>
        <w:t>Gessen</w:t>
      </w:r>
      <w:proofErr w:type="spellEnd"/>
      <w:r>
        <w:rPr>
          <w:rFonts w:eastAsia="Times-Bold" w:cs="Times New Roman"/>
          <w:b/>
          <w:bCs/>
          <w:sz w:val="22"/>
          <w:szCs w:val="22"/>
        </w:rPr>
        <w:t xml:space="preserve"> Group s.r.o. a </w:t>
      </w:r>
      <w:r w:rsidRPr="00D21A03">
        <w:rPr>
          <w:rFonts w:eastAsia="Times-Bold" w:cs="Times New Roman"/>
          <w:b/>
          <w:bCs/>
          <w:sz w:val="22"/>
          <w:szCs w:val="22"/>
          <w:highlight w:val="black"/>
        </w:rPr>
        <w:t>Pavel Křepelka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(pro nebytov</w:t>
      </w:r>
      <w:r>
        <w:rPr>
          <w:rFonts w:eastAsia="Times-Bold" w:cs="Times New Roman"/>
          <w:b/>
          <w:bCs/>
          <w:sz w:val="22"/>
          <w:szCs w:val="22"/>
        </w:rPr>
        <w:t>é jednotky č. 102, 104, 106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Revoluční 5/1006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h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rPr>
          <w:rFonts w:eastAsia="Times-Bold" w:cs="Times New Roman"/>
          <w:bCs/>
          <w:sz w:val="22"/>
          <w:szCs w:val="22"/>
        </w:rPr>
      </w:pPr>
    </w:p>
    <w:p w:rsidR="00BA52F0" w:rsidRPr="002A1EE0" w:rsidRDefault="00BA52F0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lastRenderedPageBreak/>
        <w:t xml:space="preserve">KOMA doporučuje Radě MČ P1 postup do 2. kola výběrového řízení pro: </w:t>
      </w:r>
      <w:proofErr w:type="spellStart"/>
      <w:r>
        <w:rPr>
          <w:rFonts w:eastAsia="Times-Bold" w:cs="Times New Roman"/>
          <w:b/>
          <w:bCs/>
          <w:sz w:val="22"/>
          <w:szCs w:val="22"/>
        </w:rPr>
        <w:t>pitoresq</w:t>
      </w:r>
      <w:proofErr w:type="spellEnd"/>
      <w:r>
        <w:rPr>
          <w:rFonts w:eastAsia="Times-Bold" w:cs="Times New Roman"/>
          <w:b/>
          <w:bCs/>
          <w:sz w:val="22"/>
          <w:szCs w:val="22"/>
        </w:rPr>
        <w:t xml:space="preserve">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102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Náprstkova 4/275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)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i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>
        <w:rPr>
          <w:rFonts w:eastAsia="Times-Bold" w:cs="Times New Roman"/>
          <w:b/>
          <w:bCs/>
          <w:sz w:val="22"/>
          <w:szCs w:val="22"/>
        </w:rPr>
        <w:t xml:space="preserve">FRANCESCO s.r.o. a Line </w:t>
      </w:r>
      <w:proofErr w:type="spellStart"/>
      <w:r>
        <w:rPr>
          <w:rFonts w:eastAsia="Times-Bold" w:cs="Times New Roman"/>
          <w:b/>
          <w:bCs/>
          <w:sz w:val="22"/>
          <w:szCs w:val="22"/>
        </w:rPr>
        <w:t>Production</w:t>
      </w:r>
      <w:proofErr w:type="spellEnd"/>
      <w:r>
        <w:rPr>
          <w:rFonts w:eastAsia="Times-Bold" w:cs="Times New Roman"/>
          <w:b/>
          <w:bCs/>
          <w:sz w:val="22"/>
          <w:szCs w:val="22"/>
        </w:rPr>
        <w:t xml:space="preserve"> s.r.o.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Betlémská 9/267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j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117D5" w:rsidRDefault="007117D5" w:rsidP="007117D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Pr="002A1EE0" w:rsidRDefault="00593182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postupuje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Radě MČ P1 </w:t>
      </w:r>
      <w:r>
        <w:rPr>
          <w:rFonts w:eastAsia="Times-Bold" w:cs="Times New Roman"/>
          <w:b/>
          <w:bCs/>
          <w:sz w:val="22"/>
          <w:szCs w:val="22"/>
        </w:rPr>
        <w:t xml:space="preserve">uzavřenou obálku označenou </w:t>
      </w:r>
      <w:proofErr w:type="spellStart"/>
      <w:r>
        <w:rPr>
          <w:rFonts w:eastAsia="Times-Bold" w:cs="Times New Roman"/>
          <w:b/>
          <w:bCs/>
          <w:sz w:val="22"/>
          <w:szCs w:val="22"/>
        </w:rPr>
        <w:t>Activity</w:t>
      </w:r>
      <w:proofErr w:type="spellEnd"/>
      <w:r>
        <w:rPr>
          <w:rFonts w:eastAsia="Times-Bold" w:cs="Times New Roman"/>
          <w:b/>
          <w:bCs/>
          <w:sz w:val="22"/>
          <w:szCs w:val="22"/>
        </w:rPr>
        <w:t xml:space="preserve"> Management s.r.o., která byla podána na poštu </w:t>
      </w:r>
      <w:proofErr w:type="gramStart"/>
      <w:r>
        <w:rPr>
          <w:rFonts w:eastAsia="Times-Bold" w:cs="Times New Roman"/>
          <w:b/>
          <w:bCs/>
          <w:sz w:val="22"/>
          <w:szCs w:val="22"/>
        </w:rPr>
        <w:t>18.5.2020</w:t>
      </w:r>
      <w:proofErr w:type="gramEnd"/>
      <w:r>
        <w:rPr>
          <w:rFonts w:eastAsia="Times-Bold" w:cs="Times New Roman"/>
          <w:b/>
          <w:bCs/>
          <w:sz w:val="22"/>
          <w:szCs w:val="22"/>
        </w:rPr>
        <w:t xml:space="preserve"> a doručena do podatelny MČ P1 po otevírání obálek 20.5.2020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Betlémská 9/267</w:t>
      </w:r>
      <w:r w:rsidRPr="002A1EE0">
        <w:rPr>
          <w:rFonts w:eastAsia="Times-Bold" w:cs="Times New Roman"/>
          <w:b/>
          <w:bCs/>
          <w:sz w:val="22"/>
          <w:szCs w:val="22"/>
        </w:rPr>
        <w:t>)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k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93182" w:rsidRDefault="00593182" w:rsidP="00593182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593182" w:rsidRDefault="00593182" w:rsidP="008E223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Pr="002A1EE0" w:rsidRDefault="00BA52F0" w:rsidP="00BA52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postup do 2. kola výběrového řízení pro: </w:t>
      </w:r>
      <w:r w:rsidRPr="00D21A03">
        <w:rPr>
          <w:rFonts w:eastAsia="Times-Bold" w:cs="Times New Roman"/>
          <w:b/>
          <w:bCs/>
          <w:sz w:val="22"/>
          <w:szCs w:val="22"/>
          <w:highlight w:val="black"/>
        </w:rPr>
        <w:t xml:space="preserve">Jan Zoufal a Marcela </w:t>
      </w:r>
      <w:proofErr w:type="spellStart"/>
      <w:r w:rsidRPr="00D21A03">
        <w:rPr>
          <w:rFonts w:eastAsia="Times-Bold" w:cs="Times New Roman"/>
          <w:b/>
          <w:bCs/>
          <w:sz w:val="22"/>
          <w:szCs w:val="22"/>
          <w:highlight w:val="black"/>
        </w:rPr>
        <w:t>Bezenková</w:t>
      </w:r>
      <w:proofErr w:type="spellEnd"/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(pro nebytovou jednotku č. </w:t>
      </w:r>
      <w:r>
        <w:rPr>
          <w:rFonts w:eastAsia="Times-Bold" w:cs="Times New Roman"/>
          <w:b/>
          <w:bCs/>
          <w:sz w:val="22"/>
          <w:szCs w:val="22"/>
        </w:rPr>
        <w:t>101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, </w:t>
      </w:r>
      <w:r>
        <w:rPr>
          <w:rFonts w:eastAsia="Times-Bold" w:cs="Times New Roman"/>
          <w:b/>
          <w:bCs/>
          <w:sz w:val="22"/>
          <w:szCs w:val="22"/>
        </w:rPr>
        <w:t>Újezd 36/429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)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4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l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A52F0" w:rsidRDefault="00BA52F0" w:rsidP="00BA52F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E223D" w:rsidRDefault="008E223D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bookmarkStart w:id="0" w:name="_GoBack"/>
      <w:bookmarkEnd w:id="0"/>
    </w:p>
    <w:p w:rsidR="008B5099" w:rsidRDefault="008B5099" w:rsidP="008B509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1A717D" w:rsidRDefault="0098098A" w:rsidP="001A717D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7) </w:t>
      </w:r>
      <w:r w:rsidR="001A717D" w:rsidRPr="001A717D">
        <w:rPr>
          <w:rFonts w:ascii="Times New Roman" w:hAnsi="Times New Roman" w:cs="Times New Roman"/>
          <w:b/>
          <w:color w:val="0070C0"/>
        </w:rPr>
        <w:t>NOLIK s.r.o., Mostecká 26/40 – změna nájemní smlouvy a snížení nájemného</w:t>
      </w: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</w:t>
      </w:r>
      <w:r w:rsidR="001A717D">
        <w:rPr>
          <w:rFonts w:eastAsia="Times-Bold" w:cs="Times New Roman"/>
          <w:bCs/>
          <w:sz w:val="22"/>
          <w:szCs w:val="22"/>
        </w:rPr>
        <w:t>o prodloužení nájemní smlouvy a snížení nájemného o 3 roky z důvodu pandemie COVID.</w:t>
      </w:r>
      <w:r w:rsidRPr="008F74F4">
        <w:rPr>
          <w:rFonts w:eastAsia="Times-Bold" w:cs="Times New Roman"/>
          <w:bCs/>
          <w:sz w:val="22"/>
          <w:szCs w:val="22"/>
        </w:rPr>
        <w:t xml:space="preserve"> 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593182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</w:pPr>
      <w:r w:rsidRPr="00593182">
        <w:rPr>
          <w:rFonts w:eastAsia="Times-Bold" w:cs="Times New Roman"/>
          <w:b/>
          <w:iCs/>
          <w:sz w:val="22"/>
          <w:szCs w:val="22"/>
        </w:rPr>
        <w:t xml:space="preserve">KOMA doporučuje Radě MČ P1 </w:t>
      </w:r>
      <w:r w:rsidR="00593182" w:rsidRPr="00593182">
        <w:rPr>
          <w:rFonts w:eastAsia="Times-Bold" w:cs="Times New Roman"/>
          <w:b/>
          <w:iCs/>
          <w:sz w:val="22"/>
          <w:szCs w:val="22"/>
        </w:rPr>
        <w:t xml:space="preserve">vzít na vědomí žádost nájemce a schválit a zveřejnit záměr podle §36 odst. (1) zákona čís. 131/2000 Sb. </w:t>
      </w:r>
      <w:r w:rsidR="00593182">
        <w:rPr>
          <w:rFonts w:eastAsia="Times-Bold" w:cs="Times New Roman"/>
          <w:b/>
          <w:iCs/>
          <w:sz w:val="22"/>
          <w:szCs w:val="22"/>
        </w:rPr>
        <w:t>n</w:t>
      </w:r>
      <w:r w:rsidR="00593182" w:rsidRPr="00593182">
        <w:rPr>
          <w:rFonts w:eastAsia="Times-Bold" w:cs="Times New Roman"/>
          <w:b/>
          <w:iCs/>
          <w:sz w:val="22"/>
          <w:szCs w:val="22"/>
        </w:rPr>
        <w:t>a pronájem nebytového prostoru</w:t>
      </w:r>
      <w:r w:rsidR="00593182">
        <w:rPr>
          <w:rFonts w:eastAsia="Times-Bold" w:cs="Times New Roman"/>
          <w:b/>
          <w:iCs/>
          <w:sz w:val="22"/>
          <w:szCs w:val="22"/>
        </w:rPr>
        <w:t xml:space="preserve"> - schváleno</w:t>
      </w:r>
    </w:p>
    <w:p w:rsidR="0098098A" w:rsidRPr="00593182" w:rsidRDefault="00593182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sz w:val="22"/>
          <w:szCs w:val="22"/>
        </w:rPr>
      </w:pP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8098A"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Usnesení KOMA č. 7/2/2020</w:t>
      </w:r>
    </w:p>
    <w:p w:rsidR="0098098A" w:rsidRPr="00593182" w:rsidRDefault="0098098A" w:rsidP="0098098A">
      <w:pPr>
        <w:pStyle w:val="Standard"/>
        <w:rPr>
          <w:rFonts w:eastAsia="Times-Bold" w:cs="Times New Roman"/>
          <w:b/>
          <w:i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 xml:space="preserve">: </w:t>
      </w:r>
      <w:r w:rsidR="00593182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Proti: </w:t>
      </w:r>
      <w:r w:rsidR="00593182">
        <w:rPr>
          <w:rFonts w:eastAsia="Times-Bold" w:cs="Times New Roman"/>
          <w:bCs/>
          <w:sz w:val="22"/>
          <w:szCs w:val="22"/>
        </w:rPr>
        <w:t>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1A717D" w:rsidRDefault="0098098A" w:rsidP="001A717D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8) </w:t>
      </w:r>
      <w:r w:rsidR="001A717D" w:rsidRPr="001A717D">
        <w:rPr>
          <w:rFonts w:ascii="Times New Roman" w:hAnsi="Times New Roman" w:cs="Times New Roman"/>
          <w:b/>
          <w:color w:val="0070C0"/>
        </w:rPr>
        <w:t>4 WINES</w:t>
      </w:r>
      <w:r w:rsidR="001A717D">
        <w:rPr>
          <w:rFonts w:ascii="Times New Roman" w:hAnsi="Times New Roman" w:cs="Times New Roman"/>
          <w:b/>
          <w:color w:val="0070C0"/>
        </w:rPr>
        <w:t xml:space="preserve"> s.r.o.</w:t>
      </w:r>
      <w:r w:rsidR="001A717D" w:rsidRPr="001A717D">
        <w:rPr>
          <w:rFonts w:ascii="Times New Roman" w:hAnsi="Times New Roman" w:cs="Times New Roman"/>
          <w:b/>
          <w:color w:val="0070C0"/>
        </w:rPr>
        <w:t>, Štupartská18/769 – projednání žádosti nájemce ve věci změny jednatele</w:t>
      </w:r>
      <w:r w:rsidR="001A717D" w:rsidRPr="001A717D">
        <w:rPr>
          <w:rFonts w:ascii="Times New Roman" w:hAnsi="Times New Roman" w:cs="Times New Roman"/>
          <w:color w:val="0070C0"/>
        </w:rPr>
        <w:t xml:space="preserve"> </w:t>
      </w: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1A717D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Zástupci 4 WINES navštívili pana radního Votočka s tím, že by u s.r.o. došlo prodejem ke změně ovládací osoby. Název i IČO společnosti by zůstal</w:t>
      </w:r>
      <w:r w:rsidR="00593182">
        <w:rPr>
          <w:rFonts w:eastAsia="Times-Bold" w:cs="Times New Roman"/>
          <w:bCs/>
          <w:sz w:val="22"/>
          <w:szCs w:val="22"/>
        </w:rPr>
        <w:t>y</w:t>
      </w:r>
      <w:r>
        <w:rPr>
          <w:rFonts w:eastAsia="Times-Bold" w:cs="Times New Roman"/>
          <w:bCs/>
          <w:sz w:val="22"/>
          <w:szCs w:val="22"/>
        </w:rPr>
        <w:t xml:space="preserve"> zachován</w:t>
      </w:r>
      <w:r w:rsidR="00593182">
        <w:rPr>
          <w:rFonts w:eastAsia="Times-Bold" w:cs="Times New Roman"/>
          <w:bCs/>
          <w:sz w:val="22"/>
          <w:szCs w:val="22"/>
        </w:rPr>
        <w:t>y</w:t>
      </w:r>
      <w:r>
        <w:rPr>
          <w:rFonts w:eastAsia="Times-Bold" w:cs="Times New Roman"/>
          <w:bCs/>
          <w:sz w:val="22"/>
          <w:szCs w:val="22"/>
        </w:rPr>
        <w:t xml:space="preserve">, ale došlo by ke změně jednatele. Neuplatňovali by po </w:t>
      </w:r>
      <w:r>
        <w:rPr>
          <w:rFonts w:eastAsia="Times-Bold" w:cs="Times New Roman"/>
          <w:bCs/>
          <w:sz w:val="22"/>
          <w:szCs w:val="22"/>
        </w:rPr>
        <w:lastRenderedPageBreak/>
        <w:t xml:space="preserve">MČ P1 technické zhodnocení a přišli se informovat, zda by MČ P1 byla schopna novému nájemci zajistit pokračování v nájemním poměru na dobu neurčitou a dala tak novému </w:t>
      </w:r>
      <w:r w:rsidR="00593182">
        <w:rPr>
          <w:rFonts w:eastAsia="Times-Bold" w:cs="Times New Roman"/>
          <w:bCs/>
          <w:sz w:val="22"/>
          <w:szCs w:val="22"/>
        </w:rPr>
        <w:t xml:space="preserve">nájemci </w:t>
      </w:r>
      <w:r>
        <w:rPr>
          <w:rFonts w:eastAsia="Times-Bold" w:cs="Times New Roman"/>
          <w:bCs/>
          <w:sz w:val="22"/>
          <w:szCs w:val="22"/>
        </w:rPr>
        <w:t xml:space="preserve">jistotu dlouhodobého užívání nebytového prostoru. </w:t>
      </w:r>
      <w:r w:rsidR="00650A5F">
        <w:rPr>
          <w:rFonts w:eastAsia="Times-Bold" w:cs="Times New Roman"/>
          <w:bCs/>
          <w:sz w:val="22"/>
          <w:szCs w:val="22"/>
        </w:rPr>
        <w:t>Předloženo KOMA k posouzení a přijetí stanoviska.</w:t>
      </w: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3182">
        <w:rPr>
          <w:rFonts w:eastAsia="Times-Bold" w:cs="Times New Roman"/>
          <w:b/>
          <w:bCs/>
          <w:sz w:val="22"/>
          <w:szCs w:val="22"/>
        </w:rPr>
        <w:t>vzít na vědomí informaci žadatele o možné plánované změně s tím, že nelze zajistit záruku trvání nájemního vztahu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="00682BE3">
        <w:rPr>
          <w:rFonts w:eastAsia="Times-Bold" w:cs="Times New Roman"/>
          <w:b/>
          <w:bCs/>
          <w:sz w:val="22"/>
          <w:szCs w:val="22"/>
        </w:rPr>
        <w:t xml:space="preserve">– </w:t>
      </w:r>
      <w:proofErr w:type="gramStart"/>
      <w:r w:rsidR="00682BE3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í</w:t>
      </w:r>
      <w:proofErr w:type="gramEnd"/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8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3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A4586A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50A5F" w:rsidRPr="00650A5F" w:rsidRDefault="00682BE3" w:rsidP="00650A5F">
      <w:pPr>
        <w:pStyle w:val="Odstavecseseznamem"/>
        <w:ind w:left="0" w:firstLine="708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9) </w:t>
      </w:r>
      <w:r w:rsidR="00650A5F" w:rsidRPr="00650A5F">
        <w:rPr>
          <w:rFonts w:ascii="Times New Roman" w:hAnsi="Times New Roman" w:cs="Times New Roman"/>
          <w:b/>
          <w:color w:val="0070C0"/>
        </w:rPr>
        <w:t>Školská 28/693 – návrh spoluvlastníků na rozdělení domu na jednotky prohlášením vlastníka</w:t>
      </w:r>
    </w:p>
    <w:p w:rsidR="00682BE3" w:rsidRDefault="00682BE3" w:rsidP="00682BE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</w:t>
      </w:r>
      <w:r w:rsidR="00357AA9">
        <w:rPr>
          <w:rFonts w:eastAsia="Times-Bold" w:cs="Times New Roman"/>
          <w:bCs/>
          <w:sz w:val="22"/>
          <w:szCs w:val="22"/>
        </w:rPr>
        <w:t> návrhu spoluvlastníků.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Pr="00613A3F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pověřit gesčního radního zahájením jednání se spoluvlastníky a zjištění záměru rozdělení domu na jednotky </w:t>
      </w:r>
      <w:r>
        <w:rPr>
          <w:rFonts w:eastAsia="Times-Bold" w:cs="Times New Roman"/>
          <w:b/>
          <w:bCs/>
          <w:sz w:val="22"/>
          <w:szCs w:val="22"/>
        </w:rPr>
        <w:t xml:space="preserve">– </w:t>
      </w:r>
      <w:proofErr w:type="gramStart"/>
      <w:r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</w:t>
      </w:r>
      <w:r w:rsidR="00357AA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Usnesení</w:t>
      </w:r>
      <w:proofErr w:type="gramEnd"/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63/2/2020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357AA9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001A4" w:rsidRDefault="00682BE3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7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D001A4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na jednání se dostavil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J. </w:t>
      </w:r>
      <w:proofErr w:type="spellStart"/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Počarovský</w:t>
      </w:r>
      <w:proofErr w:type="spellEnd"/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– přítomno </w:t>
      </w:r>
      <w:r w:rsidR="00357AA9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9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členů komise</w:t>
      </w:r>
    </w:p>
    <w:p w:rsidR="006F3016" w:rsidRDefault="006F3016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357AA9" w:rsidRDefault="00357AA9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B24798" w:rsidRDefault="00B24798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357AA9" w:rsidRDefault="00357AA9" w:rsidP="00357AA9">
      <w:pPr>
        <w:pStyle w:val="Odstavecseseznamem"/>
        <w:ind w:left="0" w:firstLine="708"/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>
        <w:rPr>
          <w:rFonts w:ascii="Times New Roman" w:eastAsia="Times-Bold" w:hAnsi="Times New Roman" w:cs="Times New Roman"/>
          <w:b/>
          <w:bCs/>
          <w:color w:val="0070C0"/>
        </w:rPr>
        <w:t>10</w:t>
      </w:r>
      <w:r w:rsidR="009F011F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) </w:t>
      </w:r>
      <w:r>
        <w:rPr>
          <w:rFonts w:ascii="Times New Roman" w:eastAsia="Times-Bold" w:hAnsi="Times New Roman" w:cs="Times New Roman"/>
          <w:b/>
          <w:bCs/>
          <w:color w:val="0070C0"/>
        </w:rPr>
        <w:t xml:space="preserve">Různé </w:t>
      </w:r>
    </w:p>
    <w:p w:rsidR="00357AA9" w:rsidRDefault="00357AA9" w:rsidP="009F011F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0070C0"/>
        </w:rPr>
      </w:pPr>
    </w:p>
    <w:p w:rsidR="005C2CDD" w:rsidRPr="009F011F" w:rsidRDefault="00357AA9" w:rsidP="009F011F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- </w:t>
      </w:r>
      <w:r w:rsidR="009F011F" w:rsidRPr="009F011F">
        <w:rPr>
          <w:rFonts w:ascii="Times New Roman" w:hAnsi="Times New Roman" w:cs="Times New Roman"/>
          <w:b/>
          <w:color w:val="0070C0"/>
        </w:rPr>
        <w:t>Zázraky s.r.o., Mikulandská 4/122 – žádost o pokračování snížení nájemného z důvodu rekonstrukce</w:t>
      </w:r>
    </w:p>
    <w:p w:rsidR="00542216" w:rsidRPr="00FF2BDF" w:rsidRDefault="00FA67BA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A67BA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Nájemce požádal o prodloužení snížení nájemného z důvodu pokračující rozsáhlé rekonstrukce objektu v ulici Mikulandská 7/135. </w:t>
      </w:r>
      <w:r w:rsidR="00357AA9">
        <w:rPr>
          <w:rFonts w:ascii="Times New Roman" w:hAnsi="Times New Roman" w:cs="Times New Roman"/>
          <w:bCs/>
          <w:color w:val="000000" w:themeColor="text1"/>
        </w:rPr>
        <w:t xml:space="preserve">Jednatelka společnosti Zázraky s.r.o. </w:t>
      </w:r>
      <w:r>
        <w:rPr>
          <w:rFonts w:ascii="Times New Roman" w:hAnsi="Times New Roman" w:cs="Times New Roman"/>
          <w:bCs/>
          <w:color w:val="000000" w:themeColor="text1"/>
        </w:rPr>
        <w:t xml:space="preserve">se na jednání KOMA dostavila osobně, </w:t>
      </w:r>
      <w:r w:rsidR="00357AA9">
        <w:rPr>
          <w:rFonts w:ascii="Times New Roman" w:hAnsi="Times New Roman" w:cs="Times New Roman"/>
          <w:bCs/>
          <w:color w:val="000000" w:themeColor="text1"/>
        </w:rPr>
        <w:t xml:space="preserve">přítomné seznámila se situací a doložila fotodokumentaci. Proběhla diskuse mezi členy komise a zástupkyní společnost.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aktuální vymáhání vzniklých škod po stavebníkovi tak, aby nemohlo dojít k promlčení nároku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10a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D21A0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 xml:space="preserve">souhlasit s prodloužením poskytnuté slevy ve výši 50% na období </w:t>
      </w:r>
      <w:proofErr w:type="gramStart"/>
      <w:r>
        <w:rPr>
          <w:rFonts w:eastAsia="Times-Bold" w:cs="Times New Roman"/>
          <w:b/>
          <w:bCs/>
          <w:sz w:val="22"/>
          <w:szCs w:val="22"/>
        </w:rPr>
        <w:t>1.7.2019</w:t>
      </w:r>
      <w:proofErr w:type="gramEnd"/>
      <w:r>
        <w:rPr>
          <w:rFonts w:eastAsia="Times-Bold" w:cs="Times New Roman"/>
          <w:b/>
          <w:bCs/>
          <w:sz w:val="22"/>
          <w:szCs w:val="22"/>
        </w:rPr>
        <w:t xml:space="preserve"> – 31.3.2020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10b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FF62CD" w:rsidRDefault="00FF62C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9F011F" w:rsidRDefault="00357AA9" w:rsidP="00357AA9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 xml:space="preserve">- </w:t>
      </w:r>
      <w:r w:rsidR="00F1296D" w:rsidRPr="00D21A03">
        <w:rPr>
          <w:rFonts w:ascii="Times New Roman" w:hAnsi="Times New Roman" w:cs="Times New Roman"/>
          <w:b/>
          <w:highlight w:val="black"/>
        </w:rPr>
        <w:t xml:space="preserve">H. </w:t>
      </w:r>
      <w:proofErr w:type="spellStart"/>
      <w:r w:rsidR="00F1296D" w:rsidRPr="00D21A03">
        <w:rPr>
          <w:rFonts w:ascii="Times New Roman" w:hAnsi="Times New Roman" w:cs="Times New Roman"/>
          <w:b/>
          <w:highlight w:val="black"/>
        </w:rPr>
        <w:t>Haubová</w:t>
      </w:r>
      <w:proofErr w:type="spellEnd"/>
      <w:r w:rsidRPr="009F011F">
        <w:rPr>
          <w:rFonts w:ascii="Times New Roman" w:hAnsi="Times New Roman" w:cs="Times New Roman"/>
          <w:b/>
          <w:color w:val="0070C0"/>
        </w:rPr>
        <w:t xml:space="preserve">, Mikulandská </w:t>
      </w:r>
      <w:r>
        <w:rPr>
          <w:rFonts w:ascii="Times New Roman" w:hAnsi="Times New Roman" w:cs="Times New Roman"/>
          <w:b/>
          <w:color w:val="0070C0"/>
        </w:rPr>
        <w:t>3</w:t>
      </w:r>
      <w:r w:rsidRPr="009F011F">
        <w:rPr>
          <w:rFonts w:ascii="Times New Roman" w:hAnsi="Times New Roman" w:cs="Times New Roman"/>
          <w:b/>
          <w:color w:val="0070C0"/>
        </w:rPr>
        <w:t>/1</w:t>
      </w:r>
      <w:r w:rsidR="00F1296D">
        <w:rPr>
          <w:rFonts w:ascii="Times New Roman" w:hAnsi="Times New Roman" w:cs="Times New Roman"/>
          <w:b/>
          <w:color w:val="0070C0"/>
        </w:rPr>
        <w:t>33</w:t>
      </w:r>
      <w:r w:rsidRPr="009F011F">
        <w:rPr>
          <w:rFonts w:ascii="Times New Roman" w:hAnsi="Times New Roman" w:cs="Times New Roman"/>
          <w:b/>
          <w:color w:val="0070C0"/>
        </w:rPr>
        <w:t xml:space="preserve"> – žádost o pokračování snížení nájemného z důvodu rekonstrukce</w:t>
      </w:r>
    </w:p>
    <w:p w:rsidR="00357AA9" w:rsidRPr="00FF2BDF" w:rsidRDefault="00357AA9" w:rsidP="00357AA9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357AA9" w:rsidRDefault="00F1296D" w:rsidP="00357AA9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Nájemce požádal o prodloužení snížení nájemného z důvodu pokračující rozsáhlé rekonstrukce objektu v ulici Mikulandská 7/135.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aktuální vymáhání vzniklých škod po stavebníkovi tak, aby nemohlo dojít k promlčení nároku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c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Pr="002A1EE0" w:rsidRDefault="00357AA9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 xml:space="preserve">souhlasit s prodloužením poskytnuté slevy ve výši 50% na období </w:t>
      </w:r>
      <w:proofErr w:type="gramStart"/>
      <w:r>
        <w:rPr>
          <w:rFonts w:eastAsia="Times-Bold" w:cs="Times New Roman"/>
          <w:b/>
          <w:bCs/>
          <w:sz w:val="22"/>
          <w:szCs w:val="22"/>
        </w:rPr>
        <w:t>1.7.2019</w:t>
      </w:r>
      <w:proofErr w:type="gramEnd"/>
      <w:r>
        <w:rPr>
          <w:rFonts w:eastAsia="Times-Bold" w:cs="Times New Roman"/>
          <w:b/>
          <w:bCs/>
          <w:sz w:val="22"/>
          <w:szCs w:val="22"/>
        </w:rPr>
        <w:t xml:space="preserve"> – 31.3.2020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d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F1296D">
        <w:rPr>
          <w:rFonts w:ascii="Times New Roman" w:hAnsi="Times New Roman" w:cs="Times New Roman"/>
          <w:b/>
          <w:bCs/>
          <w:color w:val="0070C0"/>
        </w:rPr>
        <w:t>- SVJ Loretánská 3/174 – výzva MHMP/OPP k odstranění reklamních zařízení na prostoru MČ P1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1296D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Zástupci SVJ se obrátili na MČ P1, jejíž nájemce nebytového prostoru nepovoleně označuje svou provozovnu a výzva MHMP/OPP směřuje zjednání nápravy na SVJ.</w:t>
      </w:r>
    </w:p>
    <w:p w:rsidR="00070201" w:rsidRDefault="00F1296D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žádá OTMS, aby odpověděl na výzvu MHMP/OPP a zároveň využíval metodiku MHMP k podobě veřejného prostoru jako přílohu uzavíraných nájemních smluv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 w:rsidR="00070201">
        <w:rPr>
          <w:rFonts w:eastAsia="Times-Bold" w:cs="Times New Roman"/>
          <w:b/>
          <w:bCs/>
          <w:sz w:val="22"/>
          <w:szCs w:val="22"/>
        </w:rPr>
        <w:t>leno</w:t>
      </w:r>
      <w:r w:rsidR="0007020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F1296D" w:rsidRPr="002A1EE0" w:rsidRDefault="00070201" w:rsidP="00F129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10e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B24798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B24798" w:rsidRPr="00F1296D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296D">
        <w:rPr>
          <w:rFonts w:ascii="Times New Roman" w:eastAsia="Times-Bold" w:hAnsi="Times New Roman" w:cs="Times New Roman"/>
          <w:i/>
          <w:iCs/>
          <w:color w:val="2E74B5" w:themeColor="accent1" w:themeShade="BF"/>
        </w:rPr>
        <w:t>17.45 hod – z jednání odešel L. Klimt – přítomno 8 členů komise</w:t>
      </w:r>
    </w:p>
    <w:p w:rsidR="00F1296D" w:rsidRDefault="00F1296D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070201">
        <w:rPr>
          <w:rFonts w:ascii="Times New Roman" w:hAnsi="Times New Roman" w:cs="Times New Roman"/>
          <w:b/>
          <w:bCs/>
          <w:color w:val="0070C0"/>
        </w:rPr>
        <w:t>- SVJ Masarykovo nábřeží 38/2058 – žádost o změnu využívání nebytových prostor MČ P1</w:t>
      </w:r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070201" w:rsidRPr="00070201" w:rsidRDefault="00070201" w:rsidP="0007020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070201">
        <w:rPr>
          <w:rFonts w:ascii="Times New Roman" w:hAnsi="Times New Roman" w:cs="Times New Roman"/>
        </w:rPr>
        <w:t>Dva vlastníci bytových jednotek v domě se obrátili na MČ P1 se žádostí, aby bylo přihlíženo k respektování práva na nerušené užívání bytů</w:t>
      </w:r>
      <w:r>
        <w:rPr>
          <w:rFonts w:ascii="Times New Roman" w:hAnsi="Times New Roman" w:cs="Times New Roman"/>
        </w:rPr>
        <w:t>,</w:t>
      </w:r>
      <w:r w:rsidRPr="00070201">
        <w:rPr>
          <w:rFonts w:ascii="Times New Roman" w:hAnsi="Times New Roman" w:cs="Times New Roman"/>
        </w:rPr>
        <w:t xml:space="preserve"> až bude probíhat výběr nových nájemců nebytových prostorů.</w:t>
      </w:r>
    </w:p>
    <w:p w:rsidR="00070201" w:rsidRPr="002A1EE0" w:rsidRDefault="00070201" w:rsidP="00D21A0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 xml:space="preserve">zohlednit při výběru nájemce žádost vlastníků bytů v domě 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– </w:t>
      </w:r>
      <w:proofErr w:type="gramStart"/>
      <w:r w:rsidRPr="002A1EE0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</w:t>
      </w:r>
      <w:proofErr w:type="gramEnd"/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10f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70201" w:rsidRDefault="00070201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B24798">
        <w:rPr>
          <w:rFonts w:eastAsia="Times-Bold" w:cs="Times New Roman"/>
          <w:bCs/>
          <w:sz w:val="22"/>
          <w:szCs w:val="22"/>
        </w:rPr>
        <w:t>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eastAsia="Times-Bold" w:cs="Times New Roman"/>
          <w:bCs/>
        </w:rPr>
        <w:lastRenderedPageBreak/>
        <w:t xml:space="preserve">- </w:t>
      </w:r>
      <w:r w:rsidRPr="00B24798">
        <w:rPr>
          <w:rFonts w:ascii="Times New Roman" w:hAnsi="Times New Roman" w:cs="Times New Roman"/>
          <w:b/>
          <w:bCs/>
          <w:color w:val="0070C0"/>
        </w:rPr>
        <w:t>FAUNA – LIKO, s.r.o., Na Perštýně 17/350 – nabídka na zvýšení náj</w:t>
      </w:r>
      <w:r>
        <w:rPr>
          <w:rFonts w:ascii="Times New Roman" w:hAnsi="Times New Roman" w:cs="Times New Roman"/>
          <w:b/>
          <w:bCs/>
          <w:color w:val="0070C0"/>
        </w:rPr>
        <w:t>emného</w:t>
      </w:r>
      <w:r w:rsidRPr="00B24798">
        <w:rPr>
          <w:rFonts w:ascii="Times New Roman" w:hAnsi="Times New Roman" w:cs="Times New Roman"/>
          <w:b/>
          <w:bCs/>
          <w:color w:val="0070C0"/>
        </w:rPr>
        <w:t xml:space="preserve"> a uzavření nové </w:t>
      </w:r>
      <w:proofErr w:type="gramStart"/>
      <w:r w:rsidRPr="00B24798">
        <w:rPr>
          <w:rFonts w:ascii="Times New Roman" w:hAnsi="Times New Roman" w:cs="Times New Roman"/>
          <w:b/>
          <w:bCs/>
          <w:color w:val="0070C0"/>
        </w:rPr>
        <w:t xml:space="preserve">nájemní </w:t>
      </w:r>
      <w:r>
        <w:rPr>
          <w:rFonts w:ascii="Times New Roman" w:hAnsi="Times New Roman" w:cs="Times New Roman"/>
          <w:b/>
          <w:bCs/>
          <w:color w:val="0070C0"/>
        </w:rPr>
        <w:t xml:space="preserve">   </w:t>
      </w:r>
      <w:r w:rsidRPr="00B24798">
        <w:rPr>
          <w:rFonts w:ascii="Times New Roman" w:hAnsi="Times New Roman" w:cs="Times New Roman"/>
          <w:b/>
          <w:bCs/>
          <w:color w:val="0070C0"/>
        </w:rPr>
        <w:t>smlouvy</w:t>
      </w:r>
      <w:proofErr w:type="gramEnd"/>
    </w:p>
    <w:p w:rsidR="00B24798" w:rsidRPr="00FF2BDF" w:rsidRDefault="00B2479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B24798" w:rsidRPr="00B24798" w:rsidRDefault="00B24798" w:rsidP="00B24798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B24798">
        <w:rPr>
          <w:rFonts w:ascii="Times New Roman" w:hAnsi="Times New Roman" w:cs="Times New Roman"/>
        </w:rPr>
        <w:t xml:space="preserve">Nájemce se obrátil na MČ P1 se žádostí o </w:t>
      </w:r>
      <w:proofErr w:type="spellStart"/>
      <w:r w:rsidRPr="00B24798">
        <w:rPr>
          <w:rFonts w:ascii="Times New Roman" w:hAnsi="Times New Roman" w:cs="Times New Roman"/>
        </w:rPr>
        <w:t>znovuprojednání</w:t>
      </w:r>
      <w:proofErr w:type="spellEnd"/>
      <w:r w:rsidRPr="00B24798">
        <w:rPr>
          <w:rFonts w:ascii="Times New Roman" w:hAnsi="Times New Roman" w:cs="Times New Roman"/>
        </w:rPr>
        <w:t xml:space="preserve"> smluvního vztahu s nabídkou zvýšení nájemného. </w:t>
      </w:r>
    </w:p>
    <w:p w:rsidR="00B24798" w:rsidRDefault="00B24798" w:rsidP="00B24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P1 </w:t>
      </w:r>
      <w:r>
        <w:rPr>
          <w:rFonts w:eastAsia="Times-Bold" w:cs="Times New Roman"/>
          <w:b/>
          <w:bCs/>
          <w:sz w:val="22"/>
          <w:szCs w:val="22"/>
        </w:rPr>
        <w:t>ne</w:t>
      </w:r>
      <w:r w:rsidR="00CA01F9">
        <w:rPr>
          <w:rFonts w:eastAsia="Times-Bold" w:cs="Times New Roman"/>
          <w:b/>
          <w:bCs/>
          <w:sz w:val="22"/>
          <w:szCs w:val="22"/>
        </w:rPr>
        <w:t>prodleně podat žalobu na vyklizení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</w:t>
      </w:r>
      <w:r>
        <w:rPr>
          <w:rFonts w:eastAsia="Times-Bold" w:cs="Times New Roman"/>
          <w:b/>
          <w:bCs/>
          <w:sz w:val="22"/>
          <w:szCs w:val="22"/>
        </w:rPr>
        <w:t xml:space="preserve"> schváleno</w:t>
      </w:r>
    </w:p>
    <w:p w:rsidR="00B24798" w:rsidRPr="002A1EE0" w:rsidRDefault="00B24798" w:rsidP="00B24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10g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/3/2020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</w:t>
      </w: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B24798" w:rsidRDefault="00B24798" w:rsidP="00B2479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070201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FF2BDF">
        <w:rPr>
          <w:rFonts w:eastAsia="Times-Bold" w:cs="Times New Roman"/>
          <w:bCs/>
          <w:sz w:val="22"/>
          <w:szCs w:val="22"/>
        </w:rPr>
        <w:t> 1</w:t>
      </w:r>
      <w:r w:rsidR="00F1296D">
        <w:rPr>
          <w:rFonts w:eastAsia="Times-Bold" w:cs="Times New Roman"/>
          <w:bCs/>
          <w:sz w:val="22"/>
          <w:szCs w:val="22"/>
        </w:rPr>
        <w:t>8</w:t>
      </w:r>
      <w:r w:rsidR="00FF2BDF">
        <w:rPr>
          <w:rFonts w:eastAsia="Times-Bold" w:cs="Times New Roman"/>
          <w:bCs/>
          <w:sz w:val="22"/>
          <w:szCs w:val="22"/>
        </w:rPr>
        <w:t>.</w:t>
      </w:r>
      <w:r w:rsidR="00F1296D">
        <w:rPr>
          <w:rFonts w:eastAsia="Times-Bold" w:cs="Times New Roman"/>
          <w:bCs/>
          <w:sz w:val="22"/>
          <w:szCs w:val="22"/>
        </w:rPr>
        <w:t>10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3658AA" w:rsidRPr="007D4714" w:rsidRDefault="003658AA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B24798" w:rsidRPr="00073797" w:rsidRDefault="00B24798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FF2BDF">
        <w:rPr>
          <w:rFonts w:eastAsia="Times-Bold" w:cs="Times New Roman"/>
          <w:bCs/>
          <w:sz w:val="22"/>
          <w:szCs w:val="22"/>
        </w:rPr>
        <w:t xml:space="preserve"> </w:t>
      </w:r>
      <w:r w:rsidR="00D21A03">
        <w:rPr>
          <w:rFonts w:eastAsia="Times-Bold" w:cs="Times New Roman"/>
          <w:bCs/>
          <w:sz w:val="22"/>
          <w:szCs w:val="22"/>
        </w:rPr>
        <w:t xml:space="preserve">  </w:t>
      </w:r>
      <w:r w:rsidR="00F1296D">
        <w:rPr>
          <w:rFonts w:eastAsia="Times-Bold" w:cs="Times New Roman"/>
          <w:bCs/>
          <w:sz w:val="22"/>
          <w:szCs w:val="22"/>
        </w:rPr>
        <w:t>Ing</w:t>
      </w:r>
      <w:r w:rsidR="00FF2BDF">
        <w:rPr>
          <w:rFonts w:eastAsia="Times-Bold" w:cs="Times New Roman"/>
          <w:bCs/>
          <w:sz w:val="22"/>
          <w:szCs w:val="22"/>
        </w:rPr>
        <w:t xml:space="preserve">. </w:t>
      </w:r>
      <w:r w:rsidR="00F1296D">
        <w:rPr>
          <w:rFonts w:eastAsia="Times-Bold" w:cs="Times New Roman"/>
          <w:bCs/>
          <w:sz w:val="22"/>
          <w:szCs w:val="22"/>
        </w:rPr>
        <w:t xml:space="preserve">Tomáš </w:t>
      </w:r>
      <w:proofErr w:type="spellStart"/>
      <w:r w:rsidR="00F1296D">
        <w:rPr>
          <w:rFonts w:eastAsia="Times-Bold" w:cs="Times New Roman"/>
          <w:bCs/>
          <w:sz w:val="22"/>
          <w:szCs w:val="22"/>
        </w:rPr>
        <w:t>Heres</w:t>
      </w:r>
      <w:proofErr w:type="spellEnd"/>
      <w:r w:rsidR="00D21A03">
        <w:rPr>
          <w:rFonts w:eastAsia="Times-Bold" w:cs="Times New Roman"/>
          <w:bCs/>
          <w:sz w:val="22"/>
          <w:szCs w:val="22"/>
        </w:rPr>
        <w:t xml:space="preserve">, </w:t>
      </w:r>
      <w:proofErr w:type="gramStart"/>
      <w:r w:rsidR="00D21A03">
        <w:rPr>
          <w:rFonts w:eastAsia="Times-Bold" w:cs="Times New Roman"/>
          <w:bCs/>
          <w:sz w:val="22"/>
          <w:szCs w:val="22"/>
        </w:rPr>
        <w:t>v.r.</w:t>
      </w:r>
      <w:proofErr w:type="gramEnd"/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006A24">
        <w:rPr>
          <w:rFonts w:eastAsia="Times-Bold" w:cs="Times New Roman"/>
          <w:bCs/>
          <w:sz w:val="22"/>
          <w:szCs w:val="22"/>
        </w:rPr>
        <w:t xml:space="preserve">     </w:t>
      </w:r>
      <w:r w:rsidR="00D21A03">
        <w:rPr>
          <w:rFonts w:eastAsia="Times-Bold" w:cs="Times New Roman"/>
          <w:bCs/>
          <w:sz w:val="22"/>
          <w:szCs w:val="22"/>
        </w:rPr>
        <w:t xml:space="preserve">        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 w:rsidR="00D21A03">
        <w:rPr>
          <w:rFonts w:eastAsia="Times-Bold" w:cs="Times New Roman"/>
          <w:bCs/>
          <w:sz w:val="22"/>
          <w:szCs w:val="22"/>
        </w:rPr>
        <w:t xml:space="preserve">, </w:t>
      </w:r>
      <w:proofErr w:type="gramStart"/>
      <w:r w:rsidR="00D21A03">
        <w:rPr>
          <w:rFonts w:eastAsia="Times-Bold" w:cs="Times New Roman"/>
          <w:bCs/>
          <w:sz w:val="22"/>
          <w:szCs w:val="22"/>
        </w:rPr>
        <w:t>v.r.</w:t>
      </w:r>
      <w:proofErr w:type="gramEnd"/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650A5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</w:t>
      </w:r>
      <w:proofErr w:type="gramStart"/>
      <w:r w:rsidR="00650A5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3.6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proofErr w:type="gramEnd"/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8D" w:rsidRDefault="00B8198D" w:rsidP="00955C34">
      <w:r>
        <w:separator/>
      </w:r>
    </w:p>
  </w:endnote>
  <w:endnote w:type="continuationSeparator" w:id="0">
    <w:p w:rsidR="00B8198D" w:rsidRDefault="00B8198D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070201" w:rsidRPr="009E70AD" w:rsidRDefault="0007020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D21A03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7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070201" w:rsidRDefault="0007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8D" w:rsidRDefault="00B8198D" w:rsidP="00955C34">
      <w:r>
        <w:separator/>
      </w:r>
    </w:p>
  </w:footnote>
  <w:footnote w:type="continuationSeparator" w:id="0">
    <w:p w:rsidR="00B8198D" w:rsidRDefault="00B8198D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01" w:rsidRPr="00165141" w:rsidRDefault="0007020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č. 3 ze dne </w:t>
    </w:r>
    <w:proofErr w:type="gramStart"/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27.5. 2020</w:t>
    </w:r>
    <w:proofErr w:type="gramEnd"/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6E8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201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7EF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0702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A717D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579E6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1EE0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0919"/>
    <w:rsid w:val="002C3F3A"/>
    <w:rsid w:val="002C7B51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3954"/>
    <w:rsid w:val="002F4262"/>
    <w:rsid w:val="002F575C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33C"/>
    <w:rsid w:val="00320866"/>
    <w:rsid w:val="0032593E"/>
    <w:rsid w:val="0033322A"/>
    <w:rsid w:val="00333DCB"/>
    <w:rsid w:val="00342118"/>
    <w:rsid w:val="00343292"/>
    <w:rsid w:val="00347828"/>
    <w:rsid w:val="00351801"/>
    <w:rsid w:val="00351911"/>
    <w:rsid w:val="0035236C"/>
    <w:rsid w:val="0035359F"/>
    <w:rsid w:val="00354083"/>
    <w:rsid w:val="00355520"/>
    <w:rsid w:val="00355CB3"/>
    <w:rsid w:val="00356469"/>
    <w:rsid w:val="00357AA9"/>
    <w:rsid w:val="0036025E"/>
    <w:rsid w:val="0036215D"/>
    <w:rsid w:val="00364BBB"/>
    <w:rsid w:val="003658AA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595E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4278"/>
    <w:rsid w:val="00440205"/>
    <w:rsid w:val="004427D0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EA5"/>
    <w:rsid w:val="004516A6"/>
    <w:rsid w:val="0045260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0FBF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4F5C52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182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372F9"/>
    <w:rsid w:val="00641C81"/>
    <w:rsid w:val="00641ED6"/>
    <w:rsid w:val="00643EDD"/>
    <w:rsid w:val="006443B5"/>
    <w:rsid w:val="006445E5"/>
    <w:rsid w:val="00646C44"/>
    <w:rsid w:val="00647472"/>
    <w:rsid w:val="00650A5F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666BC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016"/>
    <w:rsid w:val="006F322A"/>
    <w:rsid w:val="006F71FF"/>
    <w:rsid w:val="007002AD"/>
    <w:rsid w:val="00701036"/>
    <w:rsid w:val="00702623"/>
    <w:rsid w:val="00705BF0"/>
    <w:rsid w:val="00707891"/>
    <w:rsid w:val="00707EC6"/>
    <w:rsid w:val="007117D5"/>
    <w:rsid w:val="00713484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578B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223D"/>
    <w:rsid w:val="008E3BA7"/>
    <w:rsid w:val="008E55DA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586A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5A2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24798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4E1A"/>
    <w:rsid w:val="00B66546"/>
    <w:rsid w:val="00B672F0"/>
    <w:rsid w:val="00B673D0"/>
    <w:rsid w:val="00B7273B"/>
    <w:rsid w:val="00B737CD"/>
    <w:rsid w:val="00B73A66"/>
    <w:rsid w:val="00B73A6D"/>
    <w:rsid w:val="00B8198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A52F0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01F9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1A03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54C2F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3B44"/>
    <w:rsid w:val="00DA4396"/>
    <w:rsid w:val="00DA5B11"/>
    <w:rsid w:val="00DA7980"/>
    <w:rsid w:val="00DB150D"/>
    <w:rsid w:val="00DB2BA3"/>
    <w:rsid w:val="00DB42C7"/>
    <w:rsid w:val="00DB45A7"/>
    <w:rsid w:val="00DB6CEA"/>
    <w:rsid w:val="00DB7BF7"/>
    <w:rsid w:val="00DC3416"/>
    <w:rsid w:val="00DC6055"/>
    <w:rsid w:val="00DC62A6"/>
    <w:rsid w:val="00DD4A0A"/>
    <w:rsid w:val="00DE0DD5"/>
    <w:rsid w:val="00DE4B17"/>
    <w:rsid w:val="00DE50BC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75B9"/>
    <w:rsid w:val="00E714B9"/>
    <w:rsid w:val="00E7524F"/>
    <w:rsid w:val="00E75F6D"/>
    <w:rsid w:val="00E76FF2"/>
    <w:rsid w:val="00E77B4C"/>
    <w:rsid w:val="00E80722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4132"/>
    <w:rsid w:val="00F04991"/>
    <w:rsid w:val="00F05669"/>
    <w:rsid w:val="00F0790E"/>
    <w:rsid w:val="00F1058C"/>
    <w:rsid w:val="00F12762"/>
    <w:rsid w:val="00F1296D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62C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1B73"/>
  <w15:docId w15:val="{EC443239-B12B-4A6B-B6FE-5CE8597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725-2FD7-4DDD-9C10-974F3101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1942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</dc:creator>
  <cp:keywords/>
  <dc:description/>
  <cp:lastModifiedBy>Sluková Petra</cp:lastModifiedBy>
  <cp:revision>3</cp:revision>
  <cp:lastPrinted>2020-05-26T12:44:00Z</cp:lastPrinted>
  <dcterms:created xsi:type="dcterms:W3CDTF">2020-06-04T09:12:00Z</dcterms:created>
  <dcterms:modified xsi:type="dcterms:W3CDTF">2020-06-04T09:18:00Z</dcterms:modified>
</cp:coreProperties>
</file>